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0B97AA65"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F42AC8">
        <w:rPr>
          <w:rFonts w:ascii="Arial" w:hAnsi="Arial" w:cs="Arial"/>
        </w:rPr>
        <w:t>5</w:t>
      </w:r>
      <w:r w:rsidR="000E3EF9">
        <w:rPr>
          <w:rFonts w:ascii="Arial" w:hAnsi="Arial" w:cs="Arial"/>
        </w:rPr>
        <w:t>bis</w:t>
      </w:r>
      <w:r w:rsidR="00B548DA" w:rsidRPr="00765F24">
        <w:rPr>
          <w:rFonts w:ascii="Arial" w:hAnsi="Arial" w:cs="Arial"/>
        </w:rPr>
        <w:tab/>
      </w:r>
      <w:r w:rsidR="008E1D88" w:rsidRPr="00765F24">
        <w:rPr>
          <w:rFonts w:ascii="Arial" w:hAnsi="Arial" w:cs="Arial"/>
        </w:rPr>
        <w:t>R2-</w:t>
      </w:r>
      <w:r w:rsidR="00A14696" w:rsidRPr="00A14696">
        <w:rPr>
          <w:rFonts w:ascii="Arial" w:hAnsi="Arial" w:cs="Arial"/>
        </w:rPr>
        <w:t>1904158</w:t>
      </w:r>
    </w:p>
    <w:p w14:paraId="7A9879CD" w14:textId="057595F6" w:rsidR="00584ABE" w:rsidRPr="00F42AC8" w:rsidRDefault="000E3EF9" w:rsidP="005923F4">
      <w:pPr>
        <w:pStyle w:val="3GPPHeader"/>
        <w:spacing w:after="60"/>
        <w:rPr>
          <w:rFonts w:ascii="Arial" w:hAnsi="Arial" w:cs="Arial"/>
          <w:b w:val="0"/>
          <w:noProof/>
        </w:rPr>
      </w:pPr>
      <w:r>
        <w:rPr>
          <w:rFonts w:ascii="Arial" w:hAnsi="Arial" w:cs="Arial"/>
        </w:rPr>
        <w:t>Xi’an</w:t>
      </w:r>
      <w:r w:rsidR="00F42AC8" w:rsidRPr="00F42AC8">
        <w:rPr>
          <w:rFonts w:ascii="Arial" w:hAnsi="Arial" w:cs="Arial"/>
        </w:rPr>
        <w:t xml:space="preserve">, </w:t>
      </w:r>
      <w:r>
        <w:rPr>
          <w:rFonts w:ascii="Arial" w:hAnsi="Arial" w:cs="Arial"/>
        </w:rPr>
        <w:t>China</w:t>
      </w:r>
      <w:r w:rsidR="00F42AC8" w:rsidRPr="00F42AC8">
        <w:rPr>
          <w:rFonts w:ascii="Arial" w:hAnsi="Arial" w:cs="Arial"/>
        </w:rPr>
        <w:t xml:space="preserve">, </w:t>
      </w:r>
      <w:r>
        <w:rPr>
          <w:rFonts w:ascii="Arial" w:hAnsi="Arial" w:cs="Arial"/>
        </w:rPr>
        <w:t>8th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w:t>
      </w:r>
      <w:r>
        <w:rPr>
          <w:rFonts w:ascii="Arial" w:hAnsi="Arial" w:cs="Arial"/>
        </w:rPr>
        <w:t>–</w:t>
      </w:r>
      <w:r w:rsidR="00F42AC8" w:rsidRPr="00F42AC8">
        <w:rPr>
          <w:rFonts w:ascii="Arial" w:hAnsi="Arial" w:cs="Arial"/>
        </w:rPr>
        <w:t xml:space="preserve"> 1</w:t>
      </w:r>
      <w:r>
        <w:rPr>
          <w:rFonts w:ascii="Arial" w:hAnsi="Arial" w:cs="Arial"/>
        </w:rPr>
        <w:t>2th</w:t>
      </w:r>
      <w:r w:rsidR="00F42AC8" w:rsidRPr="00F42AC8">
        <w:rPr>
          <w:rFonts w:ascii="Arial" w:hAnsi="Arial" w:cs="Arial"/>
        </w:rPr>
        <w:t xml:space="preserve"> </w:t>
      </w:r>
      <w:r>
        <w:rPr>
          <w:rFonts w:ascii="Arial" w:hAnsi="Arial" w:cs="Arial"/>
        </w:rPr>
        <w:t>April</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38CD6D8C"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F63111" w:rsidRPr="002B2378">
        <w:rPr>
          <w:rFonts w:ascii="Arial" w:hAnsi="Arial" w:cs="Arial"/>
          <w:sz w:val="22"/>
        </w:rPr>
        <w:t>2</w:t>
      </w:r>
      <w:r w:rsidR="00D37345" w:rsidRPr="002B2378">
        <w:rPr>
          <w:rFonts w:ascii="Arial" w:hAnsi="Arial" w:cs="Arial"/>
          <w:sz w:val="22"/>
        </w:rPr>
        <w:t>.</w:t>
      </w:r>
      <w:r w:rsidR="00B926D6">
        <w:rPr>
          <w:rFonts w:ascii="Arial" w:hAnsi="Arial" w:cs="Arial"/>
          <w:sz w:val="22"/>
        </w:rPr>
        <w:t>3</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010B711C"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3C5A74">
        <w:rPr>
          <w:rFonts w:ascii="Arial" w:hAnsi="Arial" w:cs="Arial"/>
          <w:sz w:val="22"/>
        </w:rPr>
        <w:t>The usage of COT indication from L1 in NR-U</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7A2625B1" w14:textId="0DB02490" w:rsidR="006C0576" w:rsidRPr="006C0576" w:rsidRDefault="006C0576" w:rsidP="006C0576">
      <w:pPr>
        <w:rPr>
          <w:rFonts w:ascii="Times New Roman" w:hAnsi="Times New Roman" w:cs="Times New Roman"/>
          <w:color w:val="000000" w:themeColor="text1"/>
        </w:rPr>
      </w:pPr>
      <w:bookmarkStart w:id="1" w:name="_Ref462918989"/>
      <w:r w:rsidRPr="006C0576">
        <w:rPr>
          <w:rFonts w:ascii="Times New Roman" w:hAnsi="Times New Roman" w:cs="Times New Roman"/>
          <w:color w:val="000000" w:themeColor="text1"/>
        </w:rPr>
        <w:t>RAN1 is currently discussing initial signal design for detection of DL COT. The agreement of this signal in RAN1 ad-Hoc 1901 is following</w:t>
      </w:r>
      <w:r w:rsidR="0083290E">
        <w:rPr>
          <w:rFonts w:ascii="Times New Roman" w:hAnsi="Times New Roman" w:cs="Times New Roman"/>
          <w:color w:val="000000" w:themeColor="text1"/>
        </w:rPr>
        <w:t xml:space="preserve"> </w:t>
      </w:r>
      <w:r w:rsidR="0083290E" w:rsidRPr="006C0576">
        <w:rPr>
          <w:rFonts w:ascii="Times New Roman" w:hAnsi="Times New Roman" w:cs="Times New Roman"/>
          <w:color w:val="000000" w:themeColor="text1"/>
        </w:rPr>
        <w:t>[</w:t>
      </w:r>
      <w:r w:rsidR="0083290E">
        <w:rPr>
          <w:rFonts w:ascii="Times New Roman" w:hAnsi="Times New Roman" w:cs="Times New Roman"/>
          <w:color w:val="000000" w:themeColor="text1"/>
        </w:rPr>
        <w:t>1</w:t>
      </w:r>
      <w:r w:rsidR="0083290E" w:rsidRPr="006C0576">
        <w:rPr>
          <w:rFonts w:ascii="Times New Roman" w:hAnsi="Times New Roman" w:cs="Times New Roman"/>
          <w:color w:val="000000" w:themeColor="text1"/>
        </w:rPr>
        <w:t>]</w:t>
      </w:r>
      <w:r w:rsidRPr="006C0576">
        <w:rPr>
          <w:rFonts w:ascii="Times New Roman" w:hAnsi="Times New Roman" w:cs="Times New Roman"/>
          <w:color w:val="000000" w:themeColor="text1"/>
        </w:rPr>
        <w:t>.</w:t>
      </w:r>
    </w:p>
    <w:tbl>
      <w:tblPr>
        <w:tblStyle w:val="TableGrid"/>
        <w:tblW w:w="0" w:type="auto"/>
        <w:tblLook w:val="04A0" w:firstRow="1" w:lastRow="0" w:firstColumn="1" w:lastColumn="0" w:noHBand="0" w:noVBand="1"/>
      </w:tblPr>
      <w:tblGrid>
        <w:gridCol w:w="9631"/>
      </w:tblGrid>
      <w:tr w:rsidR="006C0576" w:rsidRPr="006C0576" w14:paraId="73D02BA9" w14:textId="77777777" w:rsidTr="006C0576">
        <w:tc>
          <w:tcPr>
            <w:tcW w:w="9631" w:type="dxa"/>
            <w:tcBorders>
              <w:top w:val="single" w:sz="4" w:space="0" w:color="auto"/>
              <w:left w:val="single" w:sz="4" w:space="0" w:color="auto"/>
              <w:bottom w:val="single" w:sz="4" w:space="0" w:color="auto"/>
              <w:right w:val="single" w:sz="4" w:space="0" w:color="auto"/>
            </w:tcBorders>
          </w:tcPr>
          <w:p w14:paraId="2480FC3A" w14:textId="77777777" w:rsidR="006C0576" w:rsidRPr="006C0576" w:rsidRDefault="006C0576">
            <w:pPr>
              <w:rPr>
                <w:rFonts w:ascii="Times New Roman" w:hAnsi="Times New Roman" w:cs="Times New Roman"/>
                <w:lang w:eastAsia="x-none"/>
              </w:rPr>
            </w:pPr>
            <w:r w:rsidRPr="006C0576">
              <w:rPr>
                <w:rFonts w:ascii="Times New Roman" w:hAnsi="Times New Roman" w:cs="Times New Roman"/>
                <w:highlight w:val="green"/>
                <w:lang w:eastAsia="x-none"/>
              </w:rPr>
              <w:t>Agreement:</w:t>
            </w:r>
          </w:p>
          <w:p w14:paraId="0358F98B" w14:textId="77777777" w:rsidR="006C0576" w:rsidRPr="006C0576" w:rsidRDefault="006C0576" w:rsidP="002901F9">
            <w:pPr>
              <w:numPr>
                <w:ilvl w:val="0"/>
                <w:numId w:val="11"/>
              </w:numPr>
              <w:spacing w:after="0" w:line="240" w:lineRule="auto"/>
              <w:rPr>
                <w:rFonts w:ascii="Times New Roman" w:hAnsi="Times New Roman" w:cs="Times New Roman"/>
                <w:lang w:eastAsia="x-none"/>
              </w:rPr>
            </w:pPr>
            <w:r w:rsidRPr="006C0576">
              <w:rPr>
                <w:rFonts w:ascii="Times New Roman" w:hAnsi="Times New Roman" w:cs="Times New Roman"/>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769ED04"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5B669AE" w14:textId="77777777" w:rsidR="006C0576" w:rsidRPr="006C0576" w:rsidRDefault="006C0576" w:rsidP="002901F9">
            <w:pPr>
              <w:numPr>
                <w:ilvl w:val="1"/>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Note: Whether a preamble, if defined, can be used for power saving in all cases depends on the details of the design.</w:t>
            </w:r>
          </w:p>
          <w:p w14:paraId="4200E6AB"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Note: Other signals present in the transmission burst may also be used for the purpose of detection of the transmission burst</w:t>
            </w:r>
          </w:p>
          <w:p w14:paraId="379DF946" w14:textId="77777777" w:rsidR="006C0576" w:rsidRPr="006C0576" w:rsidRDefault="006C0576" w:rsidP="002901F9">
            <w:pPr>
              <w:numPr>
                <w:ilvl w:val="0"/>
                <w:numId w:val="12"/>
              </w:numPr>
              <w:spacing w:after="0" w:line="240" w:lineRule="auto"/>
              <w:rPr>
                <w:rFonts w:ascii="Times New Roman" w:hAnsi="Times New Roman" w:cs="Times New Roman"/>
                <w:lang w:eastAsia="x-none"/>
              </w:rPr>
            </w:pPr>
            <w:r w:rsidRPr="006C0576">
              <w:rPr>
                <w:rFonts w:ascii="Times New Roman" w:hAnsi="Times New Roman" w:cs="Times New Roman"/>
                <w:lang w:eastAsia="x-none"/>
              </w:rPr>
              <w:t>FFS: Potential enhancements to DMRS design to address issues with detection probability</w:t>
            </w:r>
          </w:p>
          <w:p w14:paraId="4270D363" w14:textId="77777777" w:rsidR="006C0576" w:rsidRPr="006C0576" w:rsidRDefault="006C0576" w:rsidP="002901F9">
            <w:pPr>
              <w:numPr>
                <w:ilvl w:val="0"/>
                <w:numId w:val="11"/>
              </w:numPr>
              <w:spacing w:after="0" w:line="240" w:lineRule="auto"/>
              <w:rPr>
                <w:rFonts w:ascii="Times New Roman" w:hAnsi="Times New Roman" w:cs="Times New Roman"/>
                <w:lang w:eastAsia="x-none"/>
              </w:rPr>
            </w:pPr>
            <w:r w:rsidRPr="006C0576">
              <w:rPr>
                <w:rFonts w:ascii="Times New Roman" w:hAnsi="Times New Roman" w:cs="Times New Roman"/>
                <w:lang w:eastAsia="x-none"/>
              </w:rPr>
              <w:t xml:space="preserve">The payload of a PDCCH and/or GC-PDCCH transmission can contain information regarding COT structure that may be used by the UE for power saving </w:t>
            </w:r>
          </w:p>
          <w:p w14:paraId="7D6A5873" w14:textId="77777777" w:rsidR="006C0576" w:rsidRPr="006C0576" w:rsidRDefault="006C0576">
            <w:pPr>
              <w:spacing w:after="0"/>
              <w:ind w:left="360"/>
              <w:rPr>
                <w:rFonts w:ascii="Times New Roman" w:hAnsi="Times New Roman" w:cs="Times New Roman"/>
                <w:lang w:eastAsia="x-none"/>
              </w:rPr>
            </w:pPr>
          </w:p>
        </w:tc>
      </w:tr>
    </w:tbl>
    <w:p w14:paraId="22101910" w14:textId="265A8828" w:rsidR="008E5A8D" w:rsidRPr="000A02D3" w:rsidRDefault="008E5A8D" w:rsidP="008E5A8D">
      <w:pPr>
        <w:pStyle w:val="BodyText"/>
        <w:spacing w:before="120" w:after="0"/>
        <w:rPr>
          <w:rFonts w:ascii="Times New Roman" w:eastAsia="PMingLiU" w:hAnsi="Times New Roman" w:cs="Times New Roman"/>
        </w:rPr>
      </w:pPr>
    </w:p>
    <w:p w14:paraId="66276C52" w14:textId="0168EF63" w:rsidR="00633833" w:rsidRPr="00884B4C" w:rsidRDefault="00EC66AD" w:rsidP="005923F4">
      <w:pPr>
        <w:pStyle w:val="BodyText"/>
        <w:rPr>
          <w:rFonts w:ascii="Times New Roman" w:hAnsi="Times New Roman"/>
          <w:lang w:val="en-US"/>
        </w:rPr>
      </w:pPr>
      <w:r w:rsidRPr="00884B4C">
        <w:rPr>
          <w:rFonts w:ascii="Times New Roman" w:hAnsi="Times New Roman"/>
          <w:lang w:val="en-US"/>
        </w:rPr>
        <w:t>Since the channel is not always available for both gNB and UE in NR-U, there are quite a number of separate discussions related to the LBT impact to various timer/window/duration parameters in RAN2. It could end up with having different designs for different timer/window/duration parameters</w:t>
      </w:r>
      <w:r w:rsidR="00211970" w:rsidRPr="00884B4C">
        <w:rPr>
          <w:rFonts w:ascii="Times New Roman" w:hAnsi="Times New Roman"/>
          <w:lang w:val="en-US"/>
        </w:rPr>
        <w:t xml:space="preserve"> </w:t>
      </w:r>
      <w:r w:rsidR="00C43E64" w:rsidRPr="00884B4C">
        <w:rPr>
          <w:rFonts w:ascii="Times New Roman" w:hAnsi="Times New Roman"/>
          <w:lang w:val="en-US"/>
        </w:rPr>
        <w:t>in</w:t>
      </w:r>
      <w:r w:rsidR="00211970" w:rsidRPr="00884B4C">
        <w:rPr>
          <w:rFonts w:ascii="Times New Roman" w:hAnsi="Times New Roman"/>
          <w:lang w:val="en-US"/>
        </w:rPr>
        <w:t xml:space="preserve"> NR-U</w:t>
      </w:r>
      <w:r w:rsidR="00C43E64" w:rsidRPr="00884B4C">
        <w:rPr>
          <w:rFonts w:ascii="Times New Roman" w:hAnsi="Times New Roman"/>
          <w:lang w:val="en-US"/>
        </w:rPr>
        <w:t xml:space="preserve">, which is not really desired. In this paper, </w:t>
      </w:r>
      <w:r w:rsidR="00D9080F" w:rsidRPr="00884B4C">
        <w:rPr>
          <w:rFonts w:ascii="Times New Roman" w:hAnsi="Times New Roman"/>
          <w:lang w:val="en-US"/>
        </w:rPr>
        <w:t xml:space="preserve">the possibility to have a unified design based on the COT indication from L1 is discussed. </w:t>
      </w: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72A13665" w:rsidR="00564C6D" w:rsidRDefault="007E4376" w:rsidP="00564C6D">
      <w:pPr>
        <w:pStyle w:val="Heading2"/>
        <w:rPr>
          <w:lang w:val="en-US"/>
        </w:rPr>
      </w:pPr>
      <w:r>
        <w:rPr>
          <w:lang w:val="en-US"/>
        </w:rPr>
        <w:t xml:space="preserve">The </w:t>
      </w:r>
      <w:r w:rsidR="00FF12BB">
        <w:rPr>
          <w:lang w:val="en-US"/>
        </w:rPr>
        <w:t>usage of the COT indication from L1</w:t>
      </w:r>
    </w:p>
    <w:bookmarkEnd w:id="1"/>
    <w:p w14:paraId="06E25551" w14:textId="2B107DE3" w:rsidR="003A4F7B" w:rsidRDefault="001F4D3A" w:rsidP="001F4D3A">
      <w:pPr>
        <w:pStyle w:val="BodyText"/>
        <w:rPr>
          <w:rFonts w:ascii="Times New Roman" w:hAnsi="Times New Roman"/>
          <w:lang w:val="en-US"/>
        </w:rPr>
      </w:pPr>
      <w:r>
        <w:rPr>
          <w:rFonts w:ascii="Times New Roman" w:hAnsi="Times New Roman"/>
          <w:lang w:val="en-US"/>
        </w:rPr>
        <w:t xml:space="preserve">The RAN1 agreements listed in the </w:t>
      </w:r>
      <w:r w:rsidR="0071467C">
        <w:rPr>
          <w:rFonts w:ascii="Times New Roman" w:hAnsi="Times New Roman"/>
          <w:lang w:val="en-US"/>
        </w:rPr>
        <w:t>introduction</w:t>
      </w:r>
      <w:r>
        <w:rPr>
          <w:rFonts w:ascii="Times New Roman" w:hAnsi="Times New Roman"/>
          <w:lang w:val="en-US"/>
        </w:rPr>
        <w:t xml:space="preserve"> means</w:t>
      </w:r>
      <w:r w:rsidRPr="001F4D3A">
        <w:rPr>
          <w:rFonts w:ascii="Times New Roman" w:hAnsi="Times New Roman"/>
          <w:lang w:val="en-US"/>
        </w:rPr>
        <w:t xml:space="preserve"> that the COT structure info can be carried by PDCCH (FFS whether normal PDCCH or GC-PDCCH but it is PDCCH). Then DMRS of the PDCCH can be used as an implementation for identification of DL COT to reduce the effort of the blind decoding. Additionally, RAN1 is currently discussing that DL COT signal can be possibly repeated within the COT. </w:t>
      </w:r>
      <w:r w:rsidRPr="001F4D3A">
        <w:rPr>
          <w:rFonts w:ascii="Times New Roman" w:hAnsi="Times New Roman"/>
          <w:lang w:val="en-US"/>
        </w:rPr>
        <w:lastRenderedPageBreak/>
        <w:t>Hence UE receives this PDCCH when serving cell succeed with CCA.</w:t>
      </w:r>
      <w:r w:rsidR="003A4F7B">
        <w:rPr>
          <w:rFonts w:ascii="Times New Roman" w:hAnsi="Times New Roman"/>
          <w:lang w:val="en-US"/>
        </w:rPr>
        <w:t xml:space="preserve"> </w:t>
      </w:r>
      <w:r w:rsidR="002E16A2">
        <w:rPr>
          <w:rFonts w:ascii="Times New Roman" w:hAnsi="Times New Roman"/>
          <w:lang w:val="en-US"/>
        </w:rPr>
        <w:t xml:space="preserve">Regarding to the </w:t>
      </w:r>
      <w:r w:rsidR="0004325B">
        <w:rPr>
          <w:rFonts w:ascii="Times New Roman" w:hAnsi="Times New Roman"/>
          <w:lang w:val="en-US"/>
        </w:rPr>
        <w:t xml:space="preserve">LBT impact to the PDCCH monitoring behavior in the DRX, paging, or SI acquisition operation, currently RAN2 tends to </w:t>
      </w:r>
      <w:r w:rsidR="005A4615">
        <w:rPr>
          <w:rFonts w:ascii="Times New Roman" w:hAnsi="Times New Roman"/>
          <w:lang w:val="en-US"/>
        </w:rPr>
        <w:t xml:space="preserve">explicitly </w:t>
      </w:r>
      <w:r w:rsidR="00480458">
        <w:rPr>
          <w:rFonts w:ascii="Times New Roman" w:hAnsi="Times New Roman"/>
          <w:lang w:val="en-US"/>
        </w:rPr>
        <w:t>increase</w:t>
      </w:r>
      <w:r w:rsidR="0004325B">
        <w:rPr>
          <w:rFonts w:ascii="Times New Roman" w:hAnsi="Times New Roman"/>
          <w:lang w:val="en-US"/>
        </w:rPr>
        <w:t xml:space="preserve"> the PDCCH monitoring </w:t>
      </w:r>
      <w:r w:rsidR="005A4615">
        <w:rPr>
          <w:rFonts w:ascii="Times New Roman" w:hAnsi="Times New Roman"/>
          <w:lang w:val="en-US"/>
        </w:rPr>
        <w:t xml:space="preserve">time by configuring a larger duration value or configuring more </w:t>
      </w:r>
      <w:r w:rsidR="00940772">
        <w:rPr>
          <w:rFonts w:ascii="Times New Roman" w:hAnsi="Times New Roman"/>
          <w:lang w:val="en-US"/>
        </w:rPr>
        <w:t>monitoring opportunities</w:t>
      </w:r>
      <w:r w:rsidR="0004325B">
        <w:rPr>
          <w:rFonts w:ascii="Times New Roman" w:hAnsi="Times New Roman"/>
          <w:lang w:val="en-US"/>
        </w:rPr>
        <w:t xml:space="preserve">, without taking into account the </w:t>
      </w:r>
      <w:r w:rsidR="00480458">
        <w:rPr>
          <w:rFonts w:ascii="Times New Roman" w:hAnsi="Times New Roman"/>
          <w:lang w:val="en-US"/>
        </w:rPr>
        <w:t>possibility</w:t>
      </w:r>
      <w:r w:rsidR="0004325B">
        <w:rPr>
          <w:rFonts w:ascii="Times New Roman" w:hAnsi="Times New Roman"/>
          <w:lang w:val="en-US"/>
        </w:rPr>
        <w:t xml:space="preserve"> that L1 is able to inform L2/L3 about the current COT situation of the serving gNB.</w:t>
      </w:r>
      <w:r w:rsidR="00480458">
        <w:rPr>
          <w:rFonts w:ascii="Times New Roman" w:hAnsi="Times New Roman"/>
          <w:lang w:val="en-US"/>
        </w:rPr>
        <w:t xml:space="preserve"> </w:t>
      </w:r>
      <w:r w:rsidR="005F344F">
        <w:rPr>
          <w:rFonts w:ascii="Times New Roman" w:hAnsi="Times New Roman"/>
          <w:lang w:val="en-US"/>
        </w:rPr>
        <w:t xml:space="preserve">Assuming that L1 is able to </w:t>
      </w:r>
      <w:r w:rsidR="005F344F" w:rsidRPr="005F344F">
        <w:rPr>
          <w:rFonts w:ascii="Times New Roman" w:hAnsi="Times New Roman"/>
          <w:lang w:val="en-US"/>
        </w:rPr>
        <w:t xml:space="preserve">indicate the COT status </w:t>
      </w:r>
      <w:r w:rsidR="005F344F">
        <w:rPr>
          <w:rFonts w:ascii="Times New Roman" w:hAnsi="Times New Roman"/>
          <w:lang w:val="en-US"/>
        </w:rPr>
        <w:t xml:space="preserve">to L2/L3 </w:t>
      </w:r>
      <w:r w:rsidR="005F344F" w:rsidRPr="005F344F">
        <w:rPr>
          <w:rFonts w:ascii="Times New Roman" w:hAnsi="Times New Roman"/>
          <w:lang w:val="en-US"/>
        </w:rPr>
        <w:t xml:space="preserve">at the time </w:t>
      </w:r>
      <w:r w:rsidR="00E6618B">
        <w:rPr>
          <w:rFonts w:ascii="Times New Roman" w:hAnsi="Times New Roman"/>
          <w:lang w:val="en-US"/>
        </w:rPr>
        <w:t>when</w:t>
      </w:r>
      <w:r w:rsidR="005F344F" w:rsidRPr="005F344F">
        <w:rPr>
          <w:rFonts w:ascii="Times New Roman" w:hAnsi="Times New Roman"/>
          <w:lang w:val="en-US"/>
        </w:rPr>
        <w:t xml:space="preserve"> </w:t>
      </w:r>
      <w:r w:rsidR="00E6618B">
        <w:rPr>
          <w:rFonts w:ascii="Times New Roman" w:hAnsi="Times New Roman"/>
          <w:lang w:val="en-US"/>
        </w:rPr>
        <w:t xml:space="preserve">(gNB) </w:t>
      </w:r>
      <w:r w:rsidR="005F344F" w:rsidRPr="005F344F">
        <w:rPr>
          <w:rFonts w:ascii="Times New Roman" w:hAnsi="Times New Roman"/>
          <w:lang w:val="en-US"/>
        </w:rPr>
        <w:t>enter</w:t>
      </w:r>
      <w:r w:rsidR="00E6618B">
        <w:rPr>
          <w:rFonts w:ascii="Times New Roman" w:hAnsi="Times New Roman"/>
          <w:lang w:val="en-US"/>
        </w:rPr>
        <w:t>ing</w:t>
      </w:r>
      <w:r w:rsidR="005F344F" w:rsidRPr="005F344F">
        <w:rPr>
          <w:rFonts w:ascii="Times New Roman" w:hAnsi="Times New Roman"/>
          <w:lang w:val="en-US"/>
        </w:rPr>
        <w:t xml:space="preserve"> the COT and at the time </w:t>
      </w:r>
      <w:r w:rsidR="00E6618B">
        <w:rPr>
          <w:rFonts w:ascii="Times New Roman" w:hAnsi="Times New Roman"/>
          <w:lang w:val="en-US"/>
        </w:rPr>
        <w:t>when</w:t>
      </w:r>
      <w:r w:rsidR="005F344F" w:rsidRPr="005F344F">
        <w:rPr>
          <w:rFonts w:ascii="Times New Roman" w:hAnsi="Times New Roman"/>
          <w:lang w:val="en-US"/>
        </w:rPr>
        <w:t xml:space="preserve"> </w:t>
      </w:r>
      <w:r w:rsidR="00E6618B">
        <w:rPr>
          <w:rFonts w:ascii="Times New Roman" w:hAnsi="Times New Roman"/>
          <w:lang w:val="en-US"/>
        </w:rPr>
        <w:t xml:space="preserve">(gNB) </w:t>
      </w:r>
      <w:r w:rsidR="005F344F" w:rsidRPr="005F344F">
        <w:rPr>
          <w:rFonts w:ascii="Times New Roman" w:hAnsi="Times New Roman"/>
          <w:lang w:val="en-US"/>
        </w:rPr>
        <w:t>exit</w:t>
      </w:r>
      <w:r w:rsidR="00E6618B">
        <w:rPr>
          <w:rFonts w:ascii="Times New Roman" w:hAnsi="Times New Roman"/>
          <w:lang w:val="en-US"/>
        </w:rPr>
        <w:t>ing</w:t>
      </w:r>
      <w:r w:rsidR="005F344F" w:rsidRPr="005F344F">
        <w:rPr>
          <w:rFonts w:ascii="Times New Roman" w:hAnsi="Times New Roman"/>
          <w:lang w:val="en-US"/>
        </w:rPr>
        <w:t xml:space="preserve"> the COT</w:t>
      </w:r>
      <w:r w:rsidR="00E6618B">
        <w:rPr>
          <w:rFonts w:ascii="Times New Roman" w:hAnsi="Times New Roman"/>
          <w:lang w:val="en-US"/>
        </w:rPr>
        <w:t>, the existing PDCCH monitoring duration may not need to be extended explicitly, if the duration is only counted when it is within the COT.</w:t>
      </w:r>
    </w:p>
    <w:p w14:paraId="683DE89E" w14:textId="6A4DA735" w:rsidR="00884B4C" w:rsidRDefault="005A4615" w:rsidP="001F4D3A">
      <w:pPr>
        <w:pStyle w:val="BodyText"/>
        <w:rPr>
          <w:rFonts w:ascii="Times New Roman" w:hAnsi="Times New Roman"/>
          <w:lang w:val="en-US"/>
        </w:rPr>
      </w:pPr>
      <w:r>
        <w:rPr>
          <w:rFonts w:ascii="Times New Roman" w:hAnsi="Times New Roman"/>
          <w:lang w:val="en-US"/>
        </w:rPr>
        <w:t xml:space="preserve">Therefore, there are two options that can be </w:t>
      </w:r>
      <w:r w:rsidR="00182488">
        <w:rPr>
          <w:rFonts w:ascii="Times New Roman" w:hAnsi="Times New Roman"/>
          <w:lang w:val="en-US"/>
        </w:rPr>
        <w:t>considered</w:t>
      </w:r>
      <w:r>
        <w:rPr>
          <w:rFonts w:ascii="Times New Roman" w:hAnsi="Times New Roman"/>
          <w:lang w:val="en-US"/>
        </w:rPr>
        <w:t xml:space="preserve"> </w:t>
      </w:r>
      <w:r w:rsidR="006B5191">
        <w:rPr>
          <w:rFonts w:ascii="Times New Roman" w:hAnsi="Times New Roman"/>
          <w:lang w:val="en-US"/>
        </w:rPr>
        <w:t>while designing</w:t>
      </w:r>
      <w:r w:rsidR="00182488">
        <w:rPr>
          <w:rFonts w:ascii="Times New Roman" w:hAnsi="Times New Roman"/>
          <w:lang w:val="en-US"/>
        </w:rPr>
        <w:t xml:space="preserve"> </w:t>
      </w:r>
      <w:r w:rsidR="00CD0BA3">
        <w:rPr>
          <w:rFonts w:ascii="Times New Roman" w:hAnsi="Times New Roman"/>
          <w:lang w:val="en-US"/>
        </w:rPr>
        <w:t xml:space="preserve">the </w:t>
      </w:r>
      <w:r w:rsidR="00182488">
        <w:rPr>
          <w:rFonts w:ascii="Times New Roman" w:hAnsi="Times New Roman"/>
          <w:lang w:val="en-US"/>
        </w:rPr>
        <w:t xml:space="preserve">PDCCH monitoring behavior </w:t>
      </w:r>
      <w:r w:rsidR="006B5191">
        <w:rPr>
          <w:rFonts w:ascii="Times New Roman" w:hAnsi="Times New Roman"/>
          <w:lang w:val="en-US"/>
        </w:rPr>
        <w:t>for</w:t>
      </w:r>
      <w:r w:rsidR="00163049">
        <w:rPr>
          <w:rFonts w:ascii="Times New Roman" w:hAnsi="Times New Roman"/>
          <w:lang w:val="en-US"/>
        </w:rPr>
        <w:t xml:space="preserve"> DRX, paging, SI acquisition, and other similar operations in NR-U</w:t>
      </w:r>
      <w:r>
        <w:rPr>
          <w:rFonts w:ascii="Times New Roman" w:hAnsi="Times New Roman"/>
          <w:lang w:val="en-US"/>
        </w:rPr>
        <w:t xml:space="preserve">: </w:t>
      </w:r>
    </w:p>
    <w:p w14:paraId="2EFFCD60" w14:textId="386CD113" w:rsidR="005A4615" w:rsidRPr="00CE6616" w:rsidRDefault="005A4615" w:rsidP="001F4D3A">
      <w:pPr>
        <w:pStyle w:val="BodyText"/>
        <w:rPr>
          <w:rFonts w:ascii="Times New Roman" w:hAnsi="Times New Roman"/>
          <w:b/>
          <w:lang w:val="en-US"/>
        </w:rPr>
      </w:pPr>
      <w:r w:rsidRPr="00CE6616">
        <w:rPr>
          <w:rFonts w:ascii="Times New Roman" w:hAnsi="Times New Roman"/>
          <w:b/>
          <w:lang w:val="en-US"/>
        </w:rPr>
        <w:t xml:space="preserve">Option 1: </w:t>
      </w:r>
      <w:r w:rsidR="00182488" w:rsidRPr="00CE6616">
        <w:rPr>
          <w:rFonts w:ascii="Times New Roman" w:hAnsi="Times New Roman"/>
          <w:b/>
          <w:lang w:val="en-US"/>
        </w:rPr>
        <w:t xml:space="preserve">Explicitly configuring a longer PDCCH monitoring duration </w:t>
      </w:r>
      <w:r w:rsidR="000D2C8C" w:rsidRPr="00CE6616">
        <w:rPr>
          <w:rFonts w:ascii="Times New Roman" w:hAnsi="Times New Roman"/>
          <w:b/>
          <w:lang w:val="en-US"/>
        </w:rPr>
        <w:t xml:space="preserve">or more PDCCH monitoring </w:t>
      </w:r>
      <w:r w:rsidR="001A2803" w:rsidRPr="00CE6616">
        <w:rPr>
          <w:rFonts w:ascii="Times New Roman" w:hAnsi="Times New Roman"/>
          <w:b/>
          <w:lang w:val="en-US"/>
        </w:rPr>
        <w:t>opportunities.</w:t>
      </w:r>
    </w:p>
    <w:p w14:paraId="470BC178" w14:textId="50AA432F" w:rsidR="005A4615" w:rsidRPr="00CE6616" w:rsidRDefault="005D30D3" w:rsidP="001F4D3A">
      <w:pPr>
        <w:pStyle w:val="BodyText"/>
        <w:rPr>
          <w:rFonts w:ascii="Times New Roman" w:hAnsi="Times New Roman"/>
          <w:b/>
          <w:lang w:val="en-US"/>
        </w:rPr>
      </w:pPr>
      <w:r w:rsidRPr="00CE6616">
        <w:rPr>
          <w:rFonts w:ascii="Times New Roman" w:hAnsi="Times New Roman"/>
          <w:b/>
          <w:lang w:val="en-US"/>
        </w:rPr>
        <w:t>Option 2: Implicitly extend the PDCCH monitoring time by counting the timer/duration/window only when the serving cell is within the COT.</w:t>
      </w:r>
    </w:p>
    <w:p w14:paraId="511729DE" w14:textId="3269A107" w:rsidR="00884B4C" w:rsidRPr="001F4D3A" w:rsidRDefault="004E2C74" w:rsidP="004E2C74">
      <w:pPr>
        <w:pStyle w:val="BodyText"/>
        <w:rPr>
          <w:rFonts w:ascii="Times New Roman" w:hAnsi="Times New Roman"/>
          <w:lang w:val="en-US"/>
        </w:rPr>
      </w:pPr>
      <w:r>
        <w:rPr>
          <w:rFonts w:ascii="Times New Roman" w:hAnsi="Times New Roman"/>
          <w:lang w:val="en-US"/>
        </w:rPr>
        <w:t>RAN2 is kindly asked to discussion the above options, and to apply the agreed option to at least the DRX, paging</w:t>
      </w:r>
      <w:r w:rsidR="00CE6616">
        <w:rPr>
          <w:rFonts w:ascii="Times New Roman" w:hAnsi="Times New Roman"/>
          <w:lang w:val="en-US"/>
        </w:rPr>
        <w:t>, and SI acquisition operations.</w:t>
      </w:r>
    </w:p>
    <w:p w14:paraId="31A1430D" w14:textId="6AAFF1B8" w:rsidR="00CE6616" w:rsidRDefault="00CE6616" w:rsidP="00CE6616">
      <w:pPr>
        <w:rPr>
          <w:rFonts w:ascii="Times New Roman" w:hAnsi="Times New Roman"/>
          <w:b/>
        </w:rPr>
      </w:pPr>
      <w:r w:rsidRPr="00AF3D19">
        <w:rPr>
          <w:rFonts w:ascii="Times New Roman" w:hAnsi="Times New Roman"/>
          <w:b/>
        </w:rPr>
        <w:t xml:space="preserve">Proposal 1: RAN2 </w:t>
      </w:r>
      <w:r>
        <w:rPr>
          <w:rFonts w:ascii="Times New Roman" w:hAnsi="Times New Roman"/>
          <w:b/>
        </w:rPr>
        <w:t>apply</w:t>
      </w:r>
      <w:r w:rsidRPr="00AF3D19">
        <w:rPr>
          <w:rFonts w:ascii="Times New Roman" w:hAnsi="Times New Roman"/>
          <w:b/>
        </w:rPr>
        <w:t xml:space="preserve"> </w:t>
      </w:r>
      <w:r>
        <w:rPr>
          <w:rFonts w:ascii="Times New Roman" w:hAnsi="Times New Roman"/>
          <w:b/>
        </w:rPr>
        <w:t>a unified design to the PDCCH monitoring behaviour</w:t>
      </w:r>
      <w:r w:rsidR="007B27DF">
        <w:rPr>
          <w:rFonts w:ascii="Times New Roman" w:hAnsi="Times New Roman"/>
          <w:b/>
        </w:rPr>
        <w:t>s</w:t>
      </w:r>
      <w:r>
        <w:rPr>
          <w:rFonts w:ascii="Times New Roman" w:hAnsi="Times New Roman"/>
          <w:b/>
        </w:rPr>
        <w:t xml:space="preserve"> </w:t>
      </w:r>
      <w:r w:rsidR="00A41D4C">
        <w:rPr>
          <w:rFonts w:ascii="Times New Roman" w:hAnsi="Times New Roman"/>
          <w:b/>
        </w:rPr>
        <w:t>for</w:t>
      </w:r>
      <w:r>
        <w:rPr>
          <w:rFonts w:ascii="Times New Roman" w:hAnsi="Times New Roman"/>
          <w:b/>
        </w:rPr>
        <w:t xml:space="preserve"> at least the DRX, paging, and SI acquisition operations</w:t>
      </w:r>
      <w:r w:rsidR="00840F20">
        <w:rPr>
          <w:rFonts w:ascii="Times New Roman" w:hAnsi="Times New Roman"/>
          <w:b/>
        </w:rPr>
        <w:t xml:space="preserve"> in NR-U</w:t>
      </w:r>
      <w:r>
        <w:rPr>
          <w:rFonts w:ascii="Times New Roman" w:hAnsi="Times New Roman"/>
          <w:b/>
        </w:rPr>
        <w:t>.</w:t>
      </w:r>
    </w:p>
    <w:p w14:paraId="5CE3879E" w14:textId="2AC8F708" w:rsidR="00A320BF" w:rsidRPr="00B97893" w:rsidRDefault="00CE6616" w:rsidP="00B97893">
      <w:pPr>
        <w:rPr>
          <w:rFonts w:ascii="Times New Roman" w:hAnsi="Times New Roman"/>
          <w:b/>
        </w:rPr>
      </w:pPr>
      <w:r w:rsidRPr="00AF3D19">
        <w:rPr>
          <w:rFonts w:ascii="Times New Roman" w:hAnsi="Times New Roman"/>
          <w:b/>
        </w:rPr>
        <w:t xml:space="preserve">Proposal </w:t>
      </w:r>
      <w:r w:rsidR="004A083C">
        <w:rPr>
          <w:rFonts w:ascii="Times New Roman" w:hAnsi="Times New Roman"/>
          <w:b/>
        </w:rPr>
        <w:t>2</w:t>
      </w:r>
      <w:r w:rsidRPr="00AF3D19">
        <w:rPr>
          <w:rFonts w:ascii="Times New Roman" w:hAnsi="Times New Roman"/>
          <w:b/>
        </w:rPr>
        <w:t xml:space="preserve">: RAN2 </w:t>
      </w:r>
      <w:r>
        <w:rPr>
          <w:rFonts w:ascii="Times New Roman" w:hAnsi="Times New Roman"/>
          <w:b/>
        </w:rPr>
        <w:t>consider</w:t>
      </w:r>
      <w:r w:rsidRPr="00AF3D19">
        <w:rPr>
          <w:rFonts w:ascii="Times New Roman" w:hAnsi="Times New Roman"/>
          <w:b/>
        </w:rPr>
        <w:t xml:space="preserve"> </w:t>
      </w:r>
      <w:r w:rsidR="00031C79">
        <w:rPr>
          <w:rFonts w:ascii="Times New Roman" w:hAnsi="Times New Roman"/>
          <w:b/>
        </w:rPr>
        <w:t xml:space="preserve">to use the COT indication from L1 to </w:t>
      </w:r>
      <w:r w:rsidR="00C65F71">
        <w:rPr>
          <w:rFonts w:ascii="Times New Roman" w:hAnsi="Times New Roman"/>
          <w:b/>
        </w:rPr>
        <w:t xml:space="preserve">implicitly extend the PDCCH monitoring time </w:t>
      </w:r>
      <w:r w:rsidR="00A41D4C">
        <w:rPr>
          <w:rFonts w:ascii="Times New Roman" w:hAnsi="Times New Roman"/>
          <w:b/>
        </w:rPr>
        <w:t>for</w:t>
      </w:r>
      <w:r w:rsidR="00C65F71">
        <w:rPr>
          <w:rFonts w:ascii="Times New Roman" w:hAnsi="Times New Roman"/>
          <w:b/>
        </w:rPr>
        <w:t xml:space="preserve"> at least the DRX, paging, and SI acquisition operation in NR-U. </w:t>
      </w:r>
    </w:p>
    <w:p w14:paraId="0A997C65" w14:textId="77777777" w:rsidR="00CE6616" w:rsidRPr="001F4D3A" w:rsidRDefault="00CE6616" w:rsidP="001632FD">
      <w:pPr>
        <w:pStyle w:val="BodyText"/>
        <w:rPr>
          <w:rFonts w:ascii="Times New Roman" w:eastAsia="MS Mincho" w:hAnsi="Times New Roman" w:cs="Times New Roman"/>
          <w:b/>
          <w:sz w:val="20"/>
          <w:szCs w:val="20"/>
          <w:lang w:val="en-US"/>
        </w:rPr>
      </w:pPr>
    </w:p>
    <w:p w14:paraId="55947138" w14:textId="7DBD3900" w:rsidR="00C609B9" w:rsidRPr="002202E1" w:rsidRDefault="00C609B9" w:rsidP="00C609B9">
      <w:pPr>
        <w:pStyle w:val="Heading1"/>
        <w:rPr>
          <w:lang w:val="en-US"/>
        </w:rPr>
      </w:pPr>
      <w:r w:rsidRPr="002202E1">
        <w:rPr>
          <w:lang w:val="en-US"/>
        </w:rPr>
        <w:t>Conclusion</w:t>
      </w:r>
    </w:p>
    <w:p w14:paraId="3AC864CF" w14:textId="508A301A" w:rsidR="00C609B9" w:rsidRPr="00386158" w:rsidRDefault="00C609B9" w:rsidP="00C609B9">
      <w:pPr>
        <w:pStyle w:val="BodyText"/>
        <w:rPr>
          <w:rFonts w:ascii="Times New Roman" w:hAnsi="Times New Roman" w:cs="Times New Roman"/>
          <w:sz w:val="20"/>
          <w:szCs w:val="20"/>
          <w:lang w:eastAsia="en-US"/>
        </w:rPr>
      </w:pPr>
      <w:r w:rsidRPr="00386158">
        <w:rPr>
          <w:rFonts w:ascii="Times New Roman" w:hAnsi="Times New Roman" w:cs="Times New Roman"/>
          <w:sz w:val="20"/>
          <w:szCs w:val="20"/>
          <w:lang w:eastAsia="en-US"/>
        </w:rPr>
        <w:t xml:space="preserve">In this paper, </w:t>
      </w:r>
      <w:r w:rsidR="0009258F" w:rsidRPr="0009258F">
        <w:rPr>
          <w:rFonts w:ascii="Times New Roman" w:hAnsi="Times New Roman" w:cs="Times New Roman"/>
          <w:sz w:val="20"/>
          <w:szCs w:val="20"/>
          <w:lang w:eastAsia="en-US"/>
        </w:rPr>
        <w:t xml:space="preserve">we </w:t>
      </w:r>
      <w:r w:rsidR="00B97893">
        <w:rPr>
          <w:rFonts w:ascii="Times New Roman" w:hAnsi="Times New Roman" w:cs="Times New Roman"/>
          <w:sz w:val="20"/>
          <w:szCs w:val="20"/>
          <w:lang w:eastAsia="en-US"/>
        </w:rPr>
        <w:t>discuss the usage of the COT indication from L1 in NR-U and propose the following proposals</w:t>
      </w:r>
      <w:r>
        <w:rPr>
          <w:rFonts w:ascii="Times New Roman" w:hAnsi="Times New Roman" w:cs="Times New Roman"/>
          <w:sz w:val="20"/>
          <w:szCs w:val="20"/>
          <w:lang w:eastAsia="en-US"/>
        </w:rPr>
        <w:t xml:space="preserve">. </w:t>
      </w:r>
    </w:p>
    <w:p w14:paraId="158B6E22" w14:textId="020719F6" w:rsidR="00B97893" w:rsidRDefault="00B97893" w:rsidP="00B97893">
      <w:pPr>
        <w:rPr>
          <w:rFonts w:ascii="Times New Roman" w:hAnsi="Times New Roman"/>
          <w:b/>
        </w:rPr>
      </w:pPr>
      <w:r w:rsidRPr="00AF3D19">
        <w:rPr>
          <w:rFonts w:ascii="Times New Roman" w:hAnsi="Times New Roman"/>
          <w:b/>
        </w:rPr>
        <w:t xml:space="preserve">Proposal 1: RAN2 </w:t>
      </w:r>
      <w:r>
        <w:rPr>
          <w:rFonts w:ascii="Times New Roman" w:hAnsi="Times New Roman"/>
          <w:b/>
        </w:rPr>
        <w:t>apply</w:t>
      </w:r>
      <w:r w:rsidRPr="00AF3D19">
        <w:rPr>
          <w:rFonts w:ascii="Times New Roman" w:hAnsi="Times New Roman"/>
          <w:b/>
        </w:rPr>
        <w:t xml:space="preserve"> </w:t>
      </w:r>
      <w:r>
        <w:rPr>
          <w:rFonts w:ascii="Times New Roman" w:hAnsi="Times New Roman"/>
          <w:b/>
        </w:rPr>
        <w:t xml:space="preserve">a unified design to the PDCCH monitoring behaviours </w:t>
      </w:r>
      <w:r w:rsidR="00A41D4C">
        <w:rPr>
          <w:rFonts w:ascii="Times New Roman" w:hAnsi="Times New Roman"/>
          <w:b/>
        </w:rPr>
        <w:t>for</w:t>
      </w:r>
      <w:r>
        <w:rPr>
          <w:rFonts w:ascii="Times New Roman" w:hAnsi="Times New Roman"/>
          <w:b/>
        </w:rPr>
        <w:t xml:space="preserve"> at least the DRX, paging, and SI acquisition operations in NR-U.</w:t>
      </w:r>
    </w:p>
    <w:p w14:paraId="373DC2B8" w14:textId="67E82F57" w:rsidR="00EF04DD" w:rsidRDefault="00B97893" w:rsidP="00B97893">
      <w:pPr>
        <w:pStyle w:val="BodyText"/>
        <w:rPr>
          <w:rFonts w:ascii="Times New Roman" w:hAnsi="Times New Roman"/>
          <w:b/>
        </w:rPr>
      </w:pPr>
      <w:r w:rsidRPr="00AF3D19">
        <w:rPr>
          <w:rFonts w:ascii="Times New Roman" w:hAnsi="Times New Roman"/>
          <w:b/>
        </w:rPr>
        <w:t xml:space="preserve">Proposal </w:t>
      </w:r>
      <w:r>
        <w:rPr>
          <w:rFonts w:ascii="Times New Roman" w:hAnsi="Times New Roman"/>
          <w:b/>
        </w:rPr>
        <w:t>2</w:t>
      </w:r>
      <w:r w:rsidRPr="00AF3D19">
        <w:rPr>
          <w:rFonts w:ascii="Times New Roman" w:hAnsi="Times New Roman"/>
          <w:b/>
        </w:rPr>
        <w:t xml:space="preserve">: RAN2 </w:t>
      </w:r>
      <w:r>
        <w:rPr>
          <w:rFonts w:ascii="Times New Roman" w:hAnsi="Times New Roman"/>
          <w:b/>
        </w:rPr>
        <w:t>consider</w:t>
      </w:r>
      <w:r w:rsidRPr="00AF3D19">
        <w:rPr>
          <w:rFonts w:ascii="Times New Roman" w:hAnsi="Times New Roman"/>
          <w:b/>
        </w:rPr>
        <w:t xml:space="preserve"> </w:t>
      </w:r>
      <w:r>
        <w:rPr>
          <w:rFonts w:ascii="Times New Roman" w:hAnsi="Times New Roman"/>
          <w:b/>
        </w:rPr>
        <w:t xml:space="preserve">to use the COT indication from L1 to implicitly extend the PDCCH monitoring time </w:t>
      </w:r>
      <w:r w:rsidR="00A41D4C">
        <w:rPr>
          <w:rFonts w:ascii="Times New Roman" w:hAnsi="Times New Roman"/>
          <w:b/>
        </w:rPr>
        <w:t>for</w:t>
      </w:r>
      <w:r>
        <w:rPr>
          <w:rFonts w:ascii="Times New Roman" w:hAnsi="Times New Roman"/>
          <w:b/>
        </w:rPr>
        <w:t xml:space="preserve"> at least the DRX, paging, and SI acquisition operation in NR-U.</w:t>
      </w:r>
    </w:p>
    <w:p w14:paraId="3914C84F" w14:textId="528EC966" w:rsidR="00455084" w:rsidRPr="0005548C" w:rsidRDefault="00455084" w:rsidP="009C25D6">
      <w:pPr>
        <w:pStyle w:val="BodyText"/>
        <w:rPr>
          <w:rFonts w:ascii="Times New Roman" w:hAnsi="Times New Roman"/>
          <w:b/>
        </w:rPr>
      </w:pP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753CE358" w14:textId="0D7F0E11" w:rsidR="009E0248" w:rsidRDefault="00D80AC9" w:rsidP="00D80AC9">
      <w:pPr>
        <w:pStyle w:val="Reference"/>
        <w:rPr>
          <w:rFonts w:ascii="Times New Roman" w:hAnsi="Times New Roman" w:cs="Times New Roman"/>
          <w:sz w:val="20"/>
          <w:szCs w:val="20"/>
          <w:lang w:eastAsia="en-US"/>
        </w:rPr>
      </w:pPr>
      <w:r w:rsidRPr="00D80AC9">
        <w:rPr>
          <w:rFonts w:ascii="Times New Roman" w:hAnsi="Times New Roman" w:cs="Times New Roman"/>
          <w:sz w:val="20"/>
          <w:szCs w:val="20"/>
          <w:lang w:eastAsia="en-US"/>
        </w:rPr>
        <w:t>RAN1 ad-Hoc 1901 chairman note</w:t>
      </w:r>
      <w:r w:rsidR="001F3EE1">
        <w:rPr>
          <w:rFonts w:ascii="Times New Roman" w:hAnsi="Times New Roman" w:cs="Times New Roman"/>
          <w:sz w:val="20"/>
          <w:szCs w:val="20"/>
          <w:lang w:eastAsia="en-US"/>
        </w:rPr>
        <w:t>.</w:t>
      </w:r>
    </w:p>
    <w:p w14:paraId="5E4B5E44" w14:textId="7EBBC3FE" w:rsidR="00F03BE6" w:rsidRPr="00D80AC9" w:rsidRDefault="00F03BE6" w:rsidP="00F03BE6">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 xml:space="preserve">R2-1904130, </w:t>
      </w:r>
      <w:r w:rsidRPr="00F03BE6">
        <w:rPr>
          <w:rFonts w:ascii="Times New Roman" w:hAnsi="Times New Roman" w:cs="Times New Roman"/>
          <w:sz w:val="20"/>
          <w:szCs w:val="20"/>
          <w:lang w:eastAsia="en-US"/>
        </w:rPr>
        <w:t>DRX enhancement for NR-U</w:t>
      </w:r>
      <w:r>
        <w:rPr>
          <w:rFonts w:ascii="Times New Roman" w:hAnsi="Times New Roman" w:cs="Times New Roman"/>
          <w:sz w:val="20"/>
          <w:szCs w:val="20"/>
          <w:lang w:eastAsia="en-US"/>
        </w:rPr>
        <w:t>, Panasonic.</w:t>
      </w:r>
      <w:bookmarkStart w:id="3" w:name="_GoBack"/>
      <w:bookmarkEnd w:id="3"/>
    </w:p>
    <w:sectPr w:rsidR="00F03BE6" w:rsidRPr="00D80AC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FA449" w14:textId="77777777" w:rsidR="004013E0" w:rsidRDefault="004013E0">
      <w:r>
        <w:separator/>
      </w:r>
    </w:p>
  </w:endnote>
  <w:endnote w:type="continuationSeparator" w:id="0">
    <w:p w14:paraId="6AAF8610" w14:textId="77777777" w:rsidR="004013E0" w:rsidRDefault="004013E0">
      <w:r>
        <w:continuationSeparator/>
      </w:r>
    </w:p>
  </w:endnote>
  <w:endnote w:type="continuationNotice" w:id="1">
    <w:p w14:paraId="09DE6DC7" w14:textId="77777777" w:rsidR="004013E0" w:rsidRDefault="004013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Malgun Gothic Semilight"/>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9297770"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3BE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3BE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F515E" w14:textId="77777777" w:rsidR="004013E0" w:rsidRDefault="004013E0">
      <w:r>
        <w:separator/>
      </w:r>
    </w:p>
  </w:footnote>
  <w:footnote w:type="continuationSeparator" w:id="0">
    <w:p w14:paraId="758F7441" w14:textId="77777777" w:rsidR="004013E0" w:rsidRDefault="004013E0">
      <w:r>
        <w:continuationSeparator/>
      </w:r>
    </w:p>
  </w:footnote>
  <w:footnote w:type="continuationNotice" w:id="1">
    <w:p w14:paraId="11FA00C0" w14:textId="77777777" w:rsidR="004013E0" w:rsidRDefault="004013E0">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9F6DFE"/>
    <w:multiLevelType w:val="hybridMultilevel"/>
    <w:tmpl w:val="CEECE3C2"/>
    <w:lvl w:ilvl="0" w:tplc="8FB0E89E">
      <w:start w:val="1287"/>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7"/>
  </w:num>
  <w:num w:numId="7">
    <w:abstractNumId w:val="11"/>
  </w:num>
  <w:num w:numId="8">
    <w:abstractNumId w:val="2"/>
  </w:num>
  <w:num w:numId="9">
    <w:abstractNumId w:val="10"/>
  </w:num>
  <w:num w:numId="10">
    <w:abstractNumId w:val="9"/>
  </w:num>
  <w:num w:numId="11">
    <w:abstractNumId w:val="5"/>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896"/>
    <w:rsid w:val="00006B52"/>
    <w:rsid w:val="00006B58"/>
    <w:rsid w:val="00006E96"/>
    <w:rsid w:val="00007B21"/>
    <w:rsid w:val="00007CDC"/>
    <w:rsid w:val="00010088"/>
    <w:rsid w:val="00010418"/>
    <w:rsid w:val="00010F6C"/>
    <w:rsid w:val="00011153"/>
    <w:rsid w:val="00011B28"/>
    <w:rsid w:val="0001207F"/>
    <w:rsid w:val="00012D65"/>
    <w:rsid w:val="0001302D"/>
    <w:rsid w:val="00014E6A"/>
    <w:rsid w:val="00015D15"/>
    <w:rsid w:val="00016E88"/>
    <w:rsid w:val="000176B2"/>
    <w:rsid w:val="00020538"/>
    <w:rsid w:val="0002092F"/>
    <w:rsid w:val="00024389"/>
    <w:rsid w:val="00025237"/>
    <w:rsid w:val="0002564D"/>
    <w:rsid w:val="00025CB6"/>
    <w:rsid w:val="00025ECA"/>
    <w:rsid w:val="0002609C"/>
    <w:rsid w:val="000268DB"/>
    <w:rsid w:val="00026C33"/>
    <w:rsid w:val="000275A4"/>
    <w:rsid w:val="00027939"/>
    <w:rsid w:val="000302D0"/>
    <w:rsid w:val="00030C52"/>
    <w:rsid w:val="000310E8"/>
    <w:rsid w:val="00031C79"/>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25B"/>
    <w:rsid w:val="0004348C"/>
    <w:rsid w:val="000439E0"/>
    <w:rsid w:val="00043BB4"/>
    <w:rsid w:val="00043C6F"/>
    <w:rsid w:val="000444EF"/>
    <w:rsid w:val="0004524F"/>
    <w:rsid w:val="000455B9"/>
    <w:rsid w:val="00045A57"/>
    <w:rsid w:val="0004717A"/>
    <w:rsid w:val="000473BB"/>
    <w:rsid w:val="00047632"/>
    <w:rsid w:val="00050B9F"/>
    <w:rsid w:val="00051FE1"/>
    <w:rsid w:val="00052A07"/>
    <w:rsid w:val="00052BC2"/>
    <w:rsid w:val="000534E3"/>
    <w:rsid w:val="0005446F"/>
    <w:rsid w:val="000553D0"/>
    <w:rsid w:val="0005548C"/>
    <w:rsid w:val="0005606A"/>
    <w:rsid w:val="00057117"/>
    <w:rsid w:val="00057794"/>
    <w:rsid w:val="00057E2C"/>
    <w:rsid w:val="00060FD1"/>
    <w:rsid w:val="000616E7"/>
    <w:rsid w:val="00061B9F"/>
    <w:rsid w:val="00061DB5"/>
    <w:rsid w:val="00062447"/>
    <w:rsid w:val="00062C87"/>
    <w:rsid w:val="000630E9"/>
    <w:rsid w:val="0006487E"/>
    <w:rsid w:val="00065E1A"/>
    <w:rsid w:val="00066F79"/>
    <w:rsid w:val="00067548"/>
    <w:rsid w:val="000707D3"/>
    <w:rsid w:val="000710D2"/>
    <w:rsid w:val="00071D61"/>
    <w:rsid w:val="00071D81"/>
    <w:rsid w:val="00071E0F"/>
    <w:rsid w:val="00072296"/>
    <w:rsid w:val="00072966"/>
    <w:rsid w:val="00072D36"/>
    <w:rsid w:val="00074165"/>
    <w:rsid w:val="00074914"/>
    <w:rsid w:val="00075168"/>
    <w:rsid w:val="00076DD9"/>
    <w:rsid w:val="00076EB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9009F"/>
    <w:rsid w:val="00090100"/>
    <w:rsid w:val="00090B21"/>
    <w:rsid w:val="00090C1D"/>
    <w:rsid w:val="00091557"/>
    <w:rsid w:val="000924C1"/>
    <w:rsid w:val="000924F0"/>
    <w:rsid w:val="0009258F"/>
    <w:rsid w:val="00093474"/>
    <w:rsid w:val="000937D0"/>
    <w:rsid w:val="0009510F"/>
    <w:rsid w:val="000963BB"/>
    <w:rsid w:val="000968B0"/>
    <w:rsid w:val="000969CB"/>
    <w:rsid w:val="000A01BF"/>
    <w:rsid w:val="000A0685"/>
    <w:rsid w:val="000A0795"/>
    <w:rsid w:val="000A1807"/>
    <w:rsid w:val="000A19D5"/>
    <w:rsid w:val="000A1B7B"/>
    <w:rsid w:val="000A317C"/>
    <w:rsid w:val="000A33F1"/>
    <w:rsid w:val="000A56F2"/>
    <w:rsid w:val="000A5B49"/>
    <w:rsid w:val="000A7958"/>
    <w:rsid w:val="000A7F85"/>
    <w:rsid w:val="000B2719"/>
    <w:rsid w:val="000B2793"/>
    <w:rsid w:val="000B3A0A"/>
    <w:rsid w:val="000B3A8F"/>
    <w:rsid w:val="000B4AB9"/>
    <w:rsid w:val="000B4CF7"/>
    <w:rsid w:val="000B58C3"/>
    <w:rsid w:val="000B5E96"/>
    <w:rsid w:val="000B61E9"/>
    <w:rsid w:val="000B6C23"/>
    <w:rsid w:val="000B78AE"/>
    <w:rsid w:val="000B7CF7"/>
    <w:rsid w:val="000C0B03"/>
    <w:rsid w:val="000C0EC5"/>
    <w:rsid w:val="000C165A"/>
    <w:rsid w:val="000C2E19"/>
    <w:rsid w:val="000C302A"/>
    <w:rsid w:val="000C3084"/>
    <w:rsid w:val="000C401F"/>
    <w:rsid w:val="000C480E"/>
    <w:rsid w:val="000C65B7"/>
    <w:rsid w:val="000C77FF"/>
    <w:rsid w:val="000C7AC4"/>
    <w:rsid w:val="000D0D07"/>
    <w:rsid w:val="000D1062"/>
    <w:rsid w:val="000D1C00"/>
    <w:rsid w:val="000D220F"/>
    <w:rsid w:val="000D2ACE"/>
    <w:rsid w:val="000D2C8C"/>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3AF3"/>
    <w:rsid w:val="000F3BE9"/>
    <w:rsid w:val="000F3DC9"/>
    <w:rsid w:val="000F3DFC"/>
    <w:rsid w:val="000F3F6C"/>
    <w:rsid w:val="000F41EC"/>
    <w:rsid w:val="000F5904"/>
    <w:rsid w:val="000F6DF3"/>
    <w:rsid w:val="001005FF"/>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2AC"/>
    <w:rsid w:val="00127B88"/>
    <w:rsid w:val="00127E49"/>
    <w:rsid w:val="00130E77"/>
    <w:rsid w:val="001313E8"/>
    <w:rsid w:val="00131EC3"/>
    <w:rsid w:val="0013252E"/>
    <w:rsid w:val="00132FD0"/>
    <w:rsid w:val="00133CEB"/>
    <w:rsid w:val="001344C0"/>
    <w:rsid w:val="001346FA"/>
    <w:rsid w:val="001349CE"/>
    <w:rsid w:val="00134E9D"/>
    <w:rsid w:val="00135252"/>
    <w:rsid w:val="00135588"/>
    <w:rsid w:val="00135631"/>
    <w:rsid w:val="00136EA6"/>
    <w:rsid w:val="00137AB5"/>
    <w:rsid w:val="00137F0B"/>
    <w:rsid w:val="00140A5D"/>
    <w:rsid w:val="00141688"/>
    <w:rsid w:val="001416F8"/>
    <w:rsid w:val="00141A7D"/>
    <w:rsid w:val="001427E7"/>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049"/>
    <w:rsid w:val="001632FD"/>
    <w:rsid w:val="0016359E"/>
    <w:rsid w:val="00163F63"/>
    <w:rsid w:val="001643A8"/>
    <w:rsid w:val="00164543"/>
    <w:rsid w:val="0016465B"/>
    <w:rsid w:val="00164B82"/>
    <w:rsid w:val="001659C1"/>
    <w:rsid w:val="00165A59"/>
    <w:rsid w:val="00165BEA"/>
    <w:rsid w:val="0016607D"/>
    <w:rsid w:val="00166FA0"/>
    <w:rsid w:val="00167267"/>
    <w:rsid w:val="0017123E"/>
    <w:rsid w:val="00171A1F"/>
    <w:rsid w:val="00171D4D"/>
    <w:rsid w:val="00171D60"/>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2488"/>
    <w:rsid w:val="00190AC1"/>
    <w:rsid w:val="00191CFF"/>
    <w:rsid w:val="00191E9E"/>
    <w:rsid w:val="00192169"/>
    <w:rsid w:val="00192173"/>
    <w:rsid w:val="001928DE"/>
    <w:rsid w:val="00192C10"/>
    <w:rsid w:val="0019341A"/>
    <w:rsid w:val="00194BBD"/>
    <w:rsid w:val="00195520"/>
    <w:rsid w:val="001958B6"/>
    <w:rsid w:val="001963B6"/>
    <w:rsid w:val="00197653"/>
    <w:rsid w:val="00197DF9"/>
    <w:rsid w:val="001A1987"/>
    <w:rsid w:val="001A2564"/>
    <w:rsid w:val="001A2803"/>
    <w:rsid w:val="001A2C49"/>
    <w:rsid w:val="001A45EE"/>
    <w:rsid w:val="001A5E6F"/>
    <w:rsid w:val="001A6173"/>
    <w:rsid w:val="001A6CBA"/>
    <w:rsid w:val="001A7511"/>
    <w:rsid w:val="001A7A50"/>
    <w:rsid w:val="001B0B91"/>
    <w:rsid w:val="001B0D97"/>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495"/>
    <w:rsid w:val="001C67E3"/>
    <w:rsid w:val="001C7E33"/>
    <w:rsid w:val="001D02D8"/>
    <w:rsid w:val="001D0E59"/>
    <w:rsid w:val="001D280D"/>
    <w:rsid w:val="001D3AD3"/>
    <w:rsid w:val="001D4132"/>
    <w:rsid w:val="001D4AB7"/>
    <w:rsid w:val="001D4ABC"/>
    <w:rsid w:val="001D51BA"/>
    <w:rsid w:val="001D6342"/>
    <w:rsid w:val="001D6461"/>
    <w:rsid w:val="001D6D53"/>
    <w:rsid w:val="001D70A1"/>
    <w:rsid w:val="001E1450"/>
    <w:rsid w:val="001E1734"/>
    <w:rsid w:val="001E3EC8"/>
    <w:rsid w:val="001E4865"/>
    <w:rsid w:val="001E50EC"/>
    <w:rsid w:val="001E58E2"/>
    <w:rsid w:val="001E6502"/>
    <w:rsid w:val="001E663A"/>
    <w:rsid w:val="001E7AED"/>
    <w:rsid w:val="001F0684"/>
    <w:rsid w:val="001F15FB"/>
    <w:rsid w:val="001F1BD0"/>
    <w:rsid w:val="001F217F"/>
    <w:rsid w:val="001F2307"/>
    <w:rsid w:val="001F3916"/>
    <w:rsid w:val="001F3D74"/>
    <w:rsid w:val="001F3EE1"/>
    <w:rsid w:val="001F4AB0"/>
    <w:rsid w:val="001F4D3A"/>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1970"/>
    <w:rsid w:val="00214DA8"/>
    <w:rsid w:val="00215423"/>
    <w:rsid w:val="002158FA"/>
    <w:rsid w:val="00216564"/>
    <w:rsid w:val="00216F4D"/>
    <w:rsid w:val="00217C70"/>
    <w:rsid w:val="002202E1"/>
    <w:rsid w:val="00220600"/>
    <w:rsid w:val="00220E6D"/>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559"/>
    <w:rsid w:val="00241B98"/>
    <w:rsid w:val="00242973"/>
    <w:rsid w:val="00242A0A"/>
    <w:rsid w:val="00242F47"/>
    <w:rsid w:val="002435B3"/>
    <w:rsid w:val="00243CDE"/>
    <w:rsid w:val="00244DBD"/>
    <w:rsid w:val="0024547B"/>
    <w:rsid w:val="002454D4"/>
    <w:rsid w:val="002458EB"/>
    <w:rsid w:val="00245F26"/>
    <w:rsid w:val="002472AB"/>
    <w:rsid w:val="002500C8"/>
    <w:rsid w:val="00250F16"/>
    <w:rsid w:val="0025167F"/>
    <w:rsid w:val="00251EFA"/>
    <w:rsid w:val="002543D7"/>
    <w:rsid w:val="00255562"/>
    <w:rsid w:val="00257474"/>
    <w:rsid w:val="00257543"/>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1F9"/>
    <w:rsid w:val="002907B5"/>
    <w:rsid w:val="002921B1"/>
    <w:rsid w:val="00292E71"/>
    <w:rsid w:val="00292EB7"/>
    <w:rsid w:val="00293B29"/>
    <w:rsid w:val="00293F02"/>
    <w:rsid w:val="00296227"/>
    <w:rsid w:val="00296F44"/>
    <w:rsid w:val="0029748B"/>
    <w:rsid w:val="0029774E"/>
    <w:rsid w:val="0029777D"/>
    <w:rsid w:val="002A036D"/>
    <w:rsid w:val="002A055E"/>
    <w:rsid w:val="002A164A"/>
    <w:rsid w:val="002A16E0"/>
    <w:rsid w:val="002A1D4E"/>
    <w:rsid w:val="002A2034"/>
    <w:rsid w:val="002A2117"/>
    <w:rsid w:val="002A2338"/>
    <w:rsid w:val="002A2869"/>
    <w:rsid w:val="002A2DE3"/>
    <w:rsid w:val="002A50D7"/>
    <w:rsid w:val="002A612D"/>
    <w:rsid w:val="002A6E28"/>
    <w:rsid w:val="002A7510"/>
    <w:rsid w:val="002A75FE"/>
    <w:rsid w:val="002B06F0"/>
    <w:rsid w:val="002B0AEA"/>
    <w:rsid w:val="002B0B1F"/>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6CE5"/>
    <w:rsid w:val="002D7637"/>
    <w:rsid w:val="002D7FC2"/>
    <w:rsid w:val="002E16A2"/>
    <w:rsid w:val="002E17F2"/>
    <w:rsid w:val="002E212F"/>
    <w:rsid w:val="002E2F9E"/>
    <w:rsid w:val="002E3CAE"/>
    <w:rsid w:val="002E3DED"/>
    <w:rsid w:val="002E6461"/>
    <w:rsid w:val="002E64DB"/>
    <w:rsid w:val="002E7CAE"/>
    <w:rsid w:val="002F0643"/>
    <w:rsid w:val="002F1CFC"/>
    <w:rsid w:val="002F1D06"/>
    <w:rsid w:val="002F246A"/>
    <w:rsid w:val="002F2771"/>
    <w:rsid w:val="002F27FA"/>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702"/>
    <w:rsid w:val="00311E82"/>
    <w:rsid w:val="00313FD6"/>
    <w:rsid w:val="003143BD"/>
    <w:rsid w:val="00314F3C"/>
    <w:rsid w:val="003177E4"/>
    <w:rsid w:val="00317B01"/>
    <w:rsid w:val="003200B8"/>
    <w:rsid w:val="003203ED"/>
    <w:rsid w:val="003207D7"/>
    <w:rsid w:val="003208C9"/>
    <w:rsid w:val="00321158"/>
    <w:rsid w:val="00322281"/>
    <w:rsid w:val="00322C9F"/>
    <w:rsid w:val="00322CD7"/>
    <w:rsid w:val="003236B0"/>
    <w:rsid w:val="0032398B"/>
    <w:rsid w:val="00323B31"/>
    <w:rsid w:val="00323E1C"/>
    <w:rsid w:val="003248B5"/>
    <w:rsid w:val="00324D23"/>
    <w:rsid w:val="003261A9"/>
    <w:rsid w:val="00327FED"/>
    <w:rsid w:val="00330406"/>
    <w:rsid w:val="00330EDC"/>
    <w:rsid w:val="00331751"/>
    <w:rsid w:val="00334579"/>
    <w:rsid w:val="00335289"/>
    <w:rsid w:val="00335858"/>
    <w:rsid w:val="00335A88"/>
    <w:rsid w:val="00336BDA"/>
    <w:rsid w:val="00337374"/>
    <w:rsid w:val="0034033C"/>
    <w:rsid w:val="0034120F"/>
    <w:rsid w:val="00342BD7"/>
    <w:rsid w:val="00342D3F"/>
    <w:rsid w:val="00343A07"/>
    <w:rsid w:val="0034436D"/>
    <w:rsid w:val="00344407"/>
    <w:rsid w:val="00344919"/>
    <w:rsid w:val="00344941"/>
    <w:rsid w:val="003453C2"/>
    <w:rsid w:val="003455D2"/>
    <w:rsid w:val="00346DB5"/>
    <w:rsid w:val="003477B1"/>
    <w:rsid w:val="00350212"/>
    <w:rsid w:val="00350342"/>
    <w:rsid w:val="00350AC7"/>
    <w:rsid w:val="00350AD1"/>
    <w:rsid w:val="00350AE0"/>
    <w:rsid w:val="00351A57"/>
    <w:rsid w:val="00351EEE"/>
    <w:rsid w:val="00351FEF"/>
    <w:rsid w:val="003526DA"/>
    <w:rsid w:val="00352F5F"/>
    <w:rsid w:val="00353EA7"/>
    <w:rsid w:val="003547C6"/>
    <w:rsid w:val="0035482C"/>
    <w:rsid w:val="00355135"/>
    <w:rsid w:val="00355BDF"/>
    <w:rsid w:val="0035709A"/>
    <w:rsid w:val="00357380"/>
    <w:rsid w:val="003602D9"/>
    <w:rsid w:val="003604CE"/>
    <w:rsid w:val="003604FF"/>
    <w:rsid w:val="00361478"/>
    <w:rsid w:val="0036161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42AC"/>
    <w:rsid w:val="00374C70"/>
    <w:rsid w:val="00375204"/>
    <w:rsid w:val="00375EC2"/>
    <w:rsid w:val="003768C5"/>
    <w:rsid w:val="00377904"/>
    <w:rsid w:val="00377CE1"/>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4F7B"/>
    <w:rsid w:val="003A54E1"/>
    <w:rsid w:val="003A5B0A"/>
    <w:rsid w:val="003A6BAC"/>
    <w:rsid w:val="003A79AD"/>
    <w:rsid w:val="003A7CD4"/>
    <w:rsid w:val="003A7EF3"/>
    <w:rsid w:val="003B159C"/>
    <w:rsid w:val="003B2D90"/>
    <w:rsid w:val="003B369F"/>
    <w:rsid w:val="003B36A3"/>
    <w:rsid w:val="003B4BA5"/>
    <w:rsid w:val="003B4D22"/>
    <w:rsid w:val="003B4F17"/>
    <w:rsid w:val="003B608D"/>
    <w:rsid w:val="003B72A4"/>
    <w:rsid w:val="003B7FE5"/>
    <w:rsid w:val="003C10D1"/>
    <w:rsid w:val="003C11C8"/>
    <w:rsid w:val="003C15B6"/>
    <w:rsid w:val="003C1869"/>
    <w:rsid w:val="003C2702"/>
    <w:rsid w:val="003C383A"/>
    <w:rsid w:val="003C4788"/>
    <w:rsid w:val="003C580F"/>
    <w:rsid w:val="003C5A74"/>
    <w:rsid w:val="003C6B8E"/>
    <w:rsid w:val="003C7806"/>
    <w:rsid w:val="003C7BD8"/>
    <w:rsid w:val="003C7FE9"/>
    <w:rsid w:val="003D03A4"/>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CD4"/>
    <w:rsid w:val="003F3712"/>
    <w:rsid w:val="003F45E6"/>
    <w:rsid w:val="003F6A7D"/>
    <w:rsid w:val="003F6BBE"/>
    <w:rsid w:val="004000E8"/>
    <w:rsid w:val="004013E0"/>
    <w:rsid w:val="004014F3"/>
    <w:rsid w:val="00402DD0"/>
    <w:rsid w:val="00402E2B"/>
    <w:rsid w:val="004036D7"/>
    <w:rsid w:val="00403E95"/>
    <w:rsid w:val="00403F24"/>
    <w:rsid w:val="004043D0"/>
    <w:rsid w:val="0040512B"/>
    <w:rsid w:val="00405CA5"/>
    <w:rsid w:val="0040715C"/>
    <w:rsid w:val="00407CD3"/>
    <w:rsid w:val="00410134"/>
    <w:rsid w:val="00410B72"/>
    <w:rsid w:val="00410F18"/>
    <w:rsid w:val="0041263E"/>
    <w:rsid w:val="00412AF8"/>
    <w:rsid w:val="00413AAC"/>
    <w:rsid w:val="00413DB5"/>
    <w:rsid w:val="004153BF"/>
    <w:rsid w:val="00416B1B"/>
    <w:rsid w:val="00417C7D"/>
    <w:rsid w:val="00417DC5"/>
    <w:rsid w:val="00420DC3"/>
    <w:rsid w:val="00421105"/>
    <w:rsid w:val="00421755"/>
    <w:rsid w:val="004219AC"/>
    <w:rsid w:val="00421B60"/>
    <w:rsid w:val="004223B0"/>
    <w:rsid w:val="004234D8"/>
    <w:rsid w:val="00423935"/>
    <w:rsid w:val="004242F4"/>
    <w:rsid w:val="00424522"/>
    <w:rsid w:val="00426E95"/>
    <w:rsid w:val="00427248"/>
    <w:rsid w:val="004273CA"/>
    <w:rsid w:val="00427C68"/>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BF3"/>
    <w:rsid w:val="004734D0"/>
    <w:rsid w:val="00473BAD"/>
    <w:rsid w:val="00474804"/>
    <w:rsid w:val="004750E0"/>
    <w:rsid w:val="0047556B"/>
    <w:rsid w:val="004759D0"/>
    <w:rsid w:val="00475E23"/>
    <w:rsid w:val="004769FA"/>
    <w:rsid w:val="00477768"/>
    <w:rsid w:val="0048045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083C"/>
    <w:rsid w:val="004A16BC"/>
    <w:rsid w:val="004A2B94"/>
    <w:rsid w:val="004A3B58"/>
    <w:rsid w:val="004A401F"/>
    <w:rsid w:val="004A40BE"/>
    <w:rsid w:val="004A72E1"/>
    <w:rsid w:val="004A7E7F"/>
    <w:rsid w:val="004B1265"/>
    <w:rsid w:val="004B2FD1"/>
    <w:rsid w:val="004B3947"/>
    <w:rsid w:val="004B3ACB"/>
    <w:rsid w:val="004B5344"/>
    <w:rsid w:val="004B7C0C"/>
    <w:rsid w:val="004C01C8"/>
    <w:rsid w:val="004C2328"/>
    <w:rsid w:val="004C2F27"/>
    <w:rsid w:val="004C3898"/>
    <w:rsid w:val="004C646D"/>
    <w:rsid w:val="004C6883"/>
    <w:rsid w:val="004C6EDD"/>
    <w:rsid w:val="004D0261"/>
    <w:rsid w:val="004D1583"/>
    <w:rsid w:val="004D2237"/>
    <w:rsid w:val="004D2C24"/>
    <w:rsid w:val="004D36B1"/>
    <w:rsid w:val="004D4267"/>
    <w:rsid w:val="004D4B39"/>
    <w:rsid w:val="004D624E"/>
    <w:rsid w:val="004D6568"/>
    <w:rsid w:val="004D7CD0"/>
    <w:rsid w:val="004D7EBD"/>
    <w:rsid w:val="004E0BD6"/>
    <w:rsid w:val="004E1299"/>
    <w:rsid w:val="004E1865"/>
    <w:rsid w:val="004E1A9A"/>
    <w:rsid w:val="004E2680"/>
    <w:rsid w:val="004E2847"/>
    <w:rsid w:val="004E28F9"/>
    <w:rsid w:val="004E2A64"/>
    <w:rsid w:val="004E2C7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CCC"/>
    <w:rsid w:val="005052CC"/>
    <w:rsid w:val="00505477"/>
    <w:rsid w:val="00506557"/>
    <w:rsid w:val="0050677A"/>
    <w:rsid w:val="00507454"/>
    <w:rsid w:val="005079A0"/>
    <w:rsid w:val="0051062E"/>
    <w:rsid w:val="005108D8"/>
    <w:rsid w:val="005111A1"/>
    <w:rsid w:val="005116F9"/>
    <w:rsid w:val="00511C94"/>
    <w:rsid w:val="005127BF"/>
    <w:rsid w:val="00514D57"/>
    <w:rsid w:val="005153A7"/>
    <w:rsid w:val="005154C5"/>
    <w:rsid w:val="005169E9"/>
    <w:rsid w:val="0051755D"/>
    <w:rsid w:val="0051763A"/>
    <w:rsid w:val="00517736"/>
    <w:rsid w:val="005219CF"/>
    <w:rsid w:val="00521B52"/>
    <w:rsid w:val="00522D07"/>
    <w:rsid w:val="005258C1"/>
    <w:rsid w:val="00525F75"/>
    <w:rsid w:val="0052622B"/>
    <w:rsid w:val="00526413"/>
    <w:rsid w:val="005267A6"/>
    <w:rsid w:val="00526C0D"/>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4ABE"/>
    <w:rsid w:val="00585015"/>
    <w:rsid w:val="005874C6"/>
    <w:rsid w:val="0058798C"/>
    <w:rsid w:val="005900FA"/>
    <w:rsid w:val="005906A3"/>
    <w:rsid w:val="00591C46"/>
    <w:rsid w:val="005923F4"/>
    <w:rsid w:val="0059314B"/>
    <w:rsid w:val="005935A4"/>
    <w:rsid w:val="00593CD0"/>
    <w:rsid w:val="005948C2"/>
    <w:rsid w:val="00594F8D"/>
    <w:rsid w:val="00595DCA"/>
    <w:rsid w:val="0059779B"/>
    <w:rsid w:val="005A043F"/>
    <w:rsid w:val="005A0503"/>
    <w:rsid w:val="005A0D5F"/>
    <w:rsid w:val="005A209A"/>
    <w:rsid w:val="005A21FF"/>
    <w:rsid w:val="005A2A38"/>
    <w:rsid w:val="005A3A84"/>
    <w:rsid w:val="005A3ADD"/>
    <w:rsid w:val="005A43F5"/>
    <w:rsid w:val="005A4518"/>
    <w:rsid w:val="005A4615"/>
    <w:rsid w:val="005A5323"/>
    <w:rsid w:val="005A65A0"/>
    <w:rsid w:val="005A662D"/>
    <w:rsid w:val="005A67FF"/>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63AB"/>
    <w:rsid w:val="005C63BB"/>
    <w:rsid w:val="005C74FB"/>
    <w:rsid w:val="005D1498"/>
    <w:rsid w:val="005D1602"/>
    <w:rsid w:val="005D1A70"/>
    <w:rsid w:val="005D30D3"/>
    <w:rsid w:val="005D4F57"/>
    <w:rsid w:val="005D65DE"/>
    <w:rsid w:val="005D6B0B"/>
    <w:rsid w:val="005D7BBD"/>
    <w:rsid w:val="005D7F9B"/>
    <w:rsid w:val="005E0C2F"/>
    <w:rsid w:val="005E30FD"/>
    <w:rsid w:val="005E3221"/>
    <w:rsid w:val="005E385F"/>
    <w:rsid w:val="005E3915"/>
    <w:rsid w:val="005E4596"/>
    <w:rsid w:val="005E594B"/>
    <w:rsid w:val="005E5B81"/>
    <w:rsid w:val="005E5D85"/>
    <w:rsid w:val="005E7953"/>
    <w:rsid w:val="005F0652"/>
    <w:rsid w:val="005F06E0"/>
    <w:rsid w:val="005F0B30"/>
    <w:rsid w:val="005F168C"/>
    <w:rsid w:val="005F2CB1"/>
    <w:rsid w:val="005F3025"/>
    <w:rsid w:val="005F344F"/>
    <w:rsid w:val="005F3AC1"/>
    <w:rsid w:val="005F3E41"/>
    <w:rsid w:val="005F4D03"/>
    <w:rsid w:val="005F50BF"/>
    <w:rsid w:val="005F528E"/>
    <w:rsid w:val="005F618C"/>
    <w:rsid w:val="005F70BD"/>
    <w:rsid w:val="00600BD2"/>
    <w:rsid w:val="00601ACA"/>
    <w:rsid w:val="00601C5A"/>
    <w:rsid w:val="0060283C"/>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151F"/>
    <w:rsid w:val="00641533"/>
    <w:rsid w:val="0064208D"/>
    <w:rsid w:val="00642990"/>
    <w:rsid w:val="0064304C"/>
    <w:rsid w:val="00643475"/>
    <w:rsid w:val="0064396A"/>
    <w:rsid w:val="00643A41"/>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A92"/>
    <w:rsid w:val="00656DDE"/>
    <w:rsid w:val="0066011D"/>
    <w:rsid w:val="006607C0"/>
    <w:rsid w:val="006613A6"/>
    <w:rsid w:val="006627A2"/>
    <w:rsid w:val="006634E6"/>
    <w:rsid w:val="006639D9"/>
    <w:rsid w:val="00663BE6"/>
    <w:rsid w:val="0066547A"/>
    <w:rsid w:val="006655EE"/>
    <w:rsid w:val="00667EE7"/>
    <w:rsid w:val="00670051"/>
    <w:rsid w:val="00670922"/>
    <w:rsid w:val="00670BE1"/>
    <w:rsid w:val="00670E0F"/>
    <w:rsid w:val="006711A3"/>
    <w:rsid w:val="0067218F"/>
    <w:rsid w:val="00673C16"/>
    <w:rsid w:val="006741F2"/>
    <w:rsid w:val="006744A9"/>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191"/>
    <w:rsid w:val="006B5C2B"/>
    <w:rsid w:val="006B5EE4"/>
    <w:rsid w:val="006B67CF"/>
    <w:rsid w:val="006B68AD"/>
    <w:rsid w:val="006B6BC3"/>
    <w:rsid w:val="006B77B1"/>
    <w:rsid w:val="006C03B8"/>
    <w:rsid w:val="006C0576"/>
    <w:rsid w:val="006C0A15"/>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3310"/>
    <w:rsid w:val="006E4E39"/>
    <w:rsid w:val="006E565E"/>
    <w:rsid w:val="006E5CE1"/>
    <w:rsid w:val="006E61DD"/>
    <w:rsid w:val="006E64B5"/>
    <w:rsid w:val="006E673D"/>
    <w:rsid w:val="006E7D3B"/>
    <w:rsid w:val="006F0B65"/>
    <w:rsid w:val="006F0CAD"/>
    <w:rsid w:val="006F1917"/>
    <w:rsid w:val="006F1B70"/>
    <w:rsid w:val="006F20F6"/>
    <w:rsid w:val="006F3405"/>
    <w:rsid w:val="006F341D"/>
    <w:rsid w:val="006F3CDE"/>
    <w:rsid w:val="006F4D00"/>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7072"/>
    <w:rsid w:val="00707706"/>
    <w:rsid w:val="007077C4"/>
    <w:rsid w:val="00707D61"/>
    <w:rsid w:val="00711592"/>
    <w:rsid w:val="00712287"/>
    <w:rsid w:val="007126F5"/>
    <w:rsid w:val="00712772"/>
    <w:rsid w:val="00713066"/>
    <w:rsid w:val="00713DDE"/>
    <w:rsid w:val="00713F40"/>
    <w:rsid w:val="007144F3"/>
    <w:rsid w:val="0071453A"/>
    <w:rsid w:val="0071467C"/>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62A6"/>
    <w:rsid w:val="00736964"/>
    <w:rsid w:val="00736D7D"/>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37EB"/>
    <w:rsid w:val="00793C4D"/>
    <w:rsid w:val="00793CD8"/>
    <w:rsid w:val="00795C92"/>
    <w:rsid w:val="00796231"/>
    <w:rsid w:val="007965FE"/>
    <w:rsid w:val="00796AB9"/>
    <w:rsid w:val="007A000A"/>
    <w:rsid w:val="007A1083"/>
    <w:rsid w:val="007A18AB"/>
    <w:rsid w:val="007A1CB3"/>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27DF"/>
    <w:rsid w:val="007B373E"/>
    <w:rsid w:val="007B3D2D"/>
    <w:rsid w:val="007B50AE"/>
    <w:rsid w:val="007B51DF"/>
    <w:rsid w:val="007B5ACB"/>
    <w:rsid w:val="007C05DD"/>
    <w:rsid w:val="007C0A75"/>
    <w:rsid w:val="007C2F4B"/>
    <w:rsid w:val="007C342A"/>
    <w:rsid w:val="007C3D18"/>
    <w:rsid w:val="007C3E6A"/>
    <w:rsid w:val="007C40D0"/>
    <w:rsid w:val="007C44CC"/>
    <w:rsid w:val="007C60BF"/>
    <w:rsid w:val="007C6384"/>
    <w:rsid w:val="007C65A6"/>
    <w:rsid w:val="007C6A07"/>
    <w:rsid w:val="007C6A6B"/>
    <w:rsid w:val="007C6ABE"/>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A94"/>
    <w:rsid w:val="007F1CC6"/>
    <w:rsid w:val="007F1E74"/>
    <w:rsid w:val="007F26F1"/>
    <w:rsid w:val="007F3853"/>
    <w:rsid w:val="007F66B1"/>
    <w:rsid w:val="007F723F"/>
    <w:rsid w:val="007F7709"/>
    <w:rsid w:val="007F7ECB"/>
    <w:rsid w:val="007F7FC1"/>
    <w:rsid w:val="0080049D"/>
    <w:rsid w:val="008036DF"/>
    <w:rsid w:val="0080378F"/>
    <w:rsid w:val="00803B8A"/>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290E"/>
    <w:rsid w:val="00833960"/>
    <w:rsid w:val="00836544"/>
    <w:rsid w:val="00836E04"/>
    <w:rsid w:val="0083765F"/>
    <w:rsid w:val="008376AC"/>
    <w:rsid w:val="0084063F"/>
    <w:rsid w:val="00840F20"/>
    <w:rsid w:val="0084116C"/>
    <w:rsid w:val="00841CB3"/>
    <w:rsid w:val="00842795"/>
    <w:rsid w:val="008429FB"/>
    <w:rsid w:val="008444E8"/>
    <w:rsid w:val="00844E80"/>
    <w:rsid w:val="0084538C"/>
    <w:rsid w:val="00846129"/>
    <w:rsid w:val="0084661C"/>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F8A"/>
    <w:rsid w:val="008719A4"/>
    <w:rsid w:val="00871D23"/>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4B4C"/>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D4C"/>
    <w:rsid w:val="008B40D0"/>
    <w:rsid w:val="008B4BEE"/>
    <w:rsid w:val="008B51A0"/>
    <w:rsid w:val="008B5563"/>
    <w:rsid w:val="008B592A"/>
    <w:rsid w:val="008B5FA2"/>
    <w:rsid w:val="008B63B8"/>
    <w:rsid w:val="008B6C30"/>
    <w:rsid w:val="008B7B5C"/>
    <w:rsid w:val="008C048C"/>
    <w:rsid w:val="008C0A0F"/>
    <w:rsid w:val="008C0C99"/>
    <w:rsid w:val="008C2017"/>
    <w:rsid w:val="008C2246"/>
    <w:rsid w:val="008C2955"/>
    <w:rsid w:val="008C374D"/>
    <w:rsid w:val="008C47C8"/>
    <w:rsid w:val="008C4958"/>
    <w:rsid w:val="008C4BAA"/>
    <w:rsid w:val="008C586D"/>
    <w:rsid w:val="008C5FA1"/>
    <w:rsid w:val="008C68D0"/>
    <w:rsid w:val="008C6AE8"/>
    <w:rsid w:val="008C7573"/>
    <w:rsid w:val="008C76FE"/>
    <w:rsid w:val="008D0655"/>
    <w:rsid w:val="008D0BFB"/>
    <w:rsid w:val="008D0CE9"/>
    <w:rsid w:val="008D0EFD"/>
    <w:rsid w:val="008D1AE6"/>
    <w:rsid w:val="008D2755"/>
    <w:rsid w:val="008D27D3"/>
    <w:rsid w:val="008D34F1"/>
    <w:rsid w:val="008D3669"/>
    <w:rsid w:val="008D39D8"/>
    <w:rsid w:val="008D4336"/>
    <w:rsid w:val="008D6AF5"/>
    <w:rsid w:val="008D6CCC"/>
    <w:rsid w:val="008D6D1A"/>
    <w:rsid w:val="008E065E"/>
    <w:rsid w:val="008E0927"/>
    <w:rsid w:val="008E1909"/>
    <w:rsid w:val="008E1B93"/>
    <w:rsid w:val="008E1D88"/>
    <w:rsid w:val="008E2E72"/>
    <w:rsid w:val="008E3445"/>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77F"/>
    <w:rsid w:val="008F526C"/>
    <w:rsid w:val="008F5482"/>
    <w:rsid w:val="008F55FE"/>
    <w:rsid w:val="008F6C3F"/>
    <w:rsid w:val="008F7E0F"/>
    <w:rsid w:val="00902350"/>
    <w:rsid w:val="0090336B"/>
    <w:rsid w:val="00904376"/>
    <w:rsid w:val="00904C76"/>
    <w:rsid w:val="009053AA"/>
    <w:rsid w:val="00906939"/>
    <w:rsid w:val="0090795F"/>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A69"/>
    <w:rsid w:val="00924D2F"/>
    <w:rsid w:val="009250F4"/>
    <w:rsid w:val="009270E9"/>
    <w:rsid w:val="00927F40"/>
    <w:rsid w:val="0093103F"/>
    <w:rsid w:val="00931BD9"/>
    <w:rsid w:val="00934DF8"/>
    <w:rsid w:val="00935316"/>
    <w:rsid w:val="0093601A"/>
    <w:rsid w:val="00936851"/>
    <w:rsid w:val="009368F3"/>
    <w:rsid w:val="00936BBF"/>
    <w:rsid w:val="00937C25"/>
    <w:rsid w:val="0094074E"/>
    <w:rsid w:val="00940772"/>
    <w:rsid w:val="009414FD"/>
    <w:rsid w:val="00941636"/>
    <w:rsid w:val="0094346C"/>
    <w:rsid w:val="00943742"/>
    <w:rsid w:val="00945C05"/>
    <w:rsid w:val="00946945"/>
    <w:rsid w:val="00947179"/>
    <w:rsid w:val="00947588"/>
    <w:rsid w:val="00947713"/>
    <w:rsid w:val="00947B01"/>
    <w:rsid w:val="00947D91"/>
    <w:rsid w:val="0095044A"/>
    <w:rsid w:val="009506F9"/>
    <w:rsid w:val="00950DE7"/>
    <w:rsid w:val="00950FBF"/>
    <w:rsid w:val="0095150A"/>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80477"/>
    <w:rsid w:val="009818AD"/>
    <w:rsid w:val="00984217"/>
    <w:rsid w:val="00985253"/>
    <w:rsid w:val="009853B3"/>
    <w:rsid w:val="00985CBE"/>
    <w:rsid w:val="00987FD9"/>
    <w:rsid w:val="00990630"/>
    <w:rsid w:val="00991761"/>
    <w:rsid w:val="009932E4"/>
    <w:rsid w:val="00993727"/>
    <w:rsid w:val="00994DCA"/>
    <w:rsid w:val="00995585"/>
    <w:rsid w:val="009960EC"/>
    <w:rsid w:val="00996D46"/>
    <w:rsid w:val="009970DD"/>
    <w:rsid w:val="00997687"/>
    <w:rsid w:val="009A0F56"/>
    <w:rsid w:val="009A0FBA"/>
    <w:rsid w:val="009A1601"/>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403E"/>
    <w:rsid w:val="009C4EDC"/>
    <w:rsid w:val="009C527F"/>
    <w:rsid w:val="009C6467"/>
    <w:rsid w:val="009C748E"/>
    <w:rsid w:val="009D0B72"/>
    <w:rsid w:val="009D1618"/>
    <w:rsid w:val="009D28C4"/>
    <w:rsid w:val="009D352C"/>
    <w:rsid w:val="009D43AC"/>
    <w:rsid w:val="009D4FF0"/>
    <w:rsid w:val="009D5983"/>
    <w:rsid w:val="009D5E2A"/>
    <w:rsid w:val="009D6FB0"/>
    <w:rsid w:val="009D703C"/>
    <w:rsid w:val="009D718F"/>
    <w:rsid w:val="009D7E8C"/>
    <w:rsid w:val="009E0248"/>
    <w:rsid w:val="009E0642"/>
    <w:rsid w:val="009E068F"/>
    <w:rsid w:val="009E148B"/>
    <w:rsid w:val="009E14E0"/>
    <w:rsid w:val="009E35DB"/>
    <w:rsid w:val="009E47A3"/>
    <w:rsid w:val="009E537B"/>
    <w:rsid w:val="009E5902"/>
    <w:rsid w:val="009E6AA6"/>
    <w:rsid w:val="009E6AC2"/>
    <w:rsid w:val="009E6F0C"/>
    <w:rsid w:val="009F072A"/>
    <w:rsid w:val="009F08F3"/>
    <w:rsid w:val="009F0D5B"/>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CA2"/>
    <w:rsid w:val="00A11123"/>
    <w:rsid w:val="00A1175D"/>
    <w:rsid w:val="00A11AB7"/>
    <w:rsid w:val="00A1305E"/>
    <w:rsid w:val="00A137FD"/>
    <w:rsid w:val="00A13991"/>
    <w:rsid w:val="00A13E54"/>
    <w:rsid w:val="00A14162"/>
    <w:rsid w:val="00A14696"/>
    <w:rsid w:val="00A1595C"/>
    <w:rsid w:val="00A17F63"/>
    <w:rsid w:val="00A201BE"/>
    <w:rsid w:val="00A2193B"/>
    <w:rsid w:val="00A2351A"/>
    <w:rsid w:val="00A23945"/>
    <w:rsid w:val="00A24365"/>
    <w:rsid w:val="00A249D6"/>
    <w:rsid w:val="00A25BF5"/>
    <w:rsid w:val="00A25F70"/>
    <w:rsid w:val="00A264A9"/>
    <w:rsid w:val="00A27291"/>
    <w:rsid w:val="00A2747F"/>
    <w:rsid w:val="00A27785"/>
    <w:rsid w:val="00A30187"/>
    <w:rsid w:val="00A305DE"/>
    <w:rsid w:val="00A31044"/>
    <w:rsid w:val="00A320BF"/>
    <w:rsid w:val="00A3448A"/>
    <w:rsid w:val="00A34C43"/>
    <w:rsid w:val="00A35099"/>
    <w:rsid w:val="00A351A8"/>
    <w:rsid w:val="00A36031"/>
    <w:rsid w:val="00A36297"/>
    <w:rsid w:val="00A36B2A"/>
    <w:rsid w:val="00A3750E"/>
    <w:rsid w:val="00A3751A"/>
    <w:rsid w:val="00A37BAF"/>
    <w:rsid w:val="00A4191F"/>
    <w:rsid w:val="00A41D4C"/>
    <w:rsid w:val="00A41E2B"/>
    <w:rsid w:val="00A42139"/>
    <w:rsid w:val="00A42503"/>
    <w:rsid w:val="00A44522"/>
    <w:rsid w:val="00A44B11"/>
    <w:rsid w:val="00A45B74"/>
    <w:rsid w:val="00A4647F"/>
    <w:rsid w:val="00A46626"/>
    <w:rsid w:val="00A50F35"/>
    <w:rsid w:val="00A50FA9"/>
    <w:rsid w:val="00A51116"/>
    <w:rsid w:val="00A521B4"/>
    <w:rsid w:val="00A52E1D"/>
    <w:rsid w:val="00A546D3"/>
    <w:rsid w:val="00A55451"/>
    <w:rsid w:val="00A55F73"/>
    <w:rsid w:val="00A56D3F"/>
    <w:rsid w:val="00A571A6"/>
    <w:rsid w:val="00A60109"/>
    <w:rsid w:val="00A60917"/>
    <w:rsid w:val="00A61499"/>
    <w:rsid w:val="00A622C6"/>
    <w:rsid w:val="00A62A77"/>
    <w:rsid w:val="00A63483"/>
    <w:rsid w:val="00A63D17"/>
    <w:rsid w:val="00A6446C"/>
    <w:rsid w:val="00A654D6"/>
    <w:rsid w:val="00A657D7"/>
    <w:rsid w:val="00A65935"/>
    <w:rsid w:val="00A65E5A"/>
    <w:rsid w:val="00A660AC"/>
    <w:rsid w:val="00A660F6"/>
    <w:rsid w:val="00A670A6"/>
    <w:rsid w:val="00A67E6C"/>
    <w:rsid w:val="00A70C59"/>
    <w:rsid w:val="00A71B99"/>
    <w:rsid w:val="00A71D6C"/>
    <w:rsid w:val="00A72C8A"/>
    <w:rsid w:val="00A739D0"/>
    <w:rsid w:val="00A749DC"/>
    <w:rsid w:val="00A74E64"/>
    <w:rsid w:val="00A758C5"/>
    <w:rsid w:val="00A7599C"/>
    <w:rsid w:val="00A759B0"/>
    <w:rsid w:val="00A761D4"/>
    <w:rsid w:val="00A76696"/>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3119"/>
    <w:rsid w:val="00AC3D18"/>
    <w:rsid w:val="00AC3E0C"/>
    <w:rsid w:val="00AC49FB"/>
    <w:rsid w:val="00AC5A10"/>
    <w:rsid w:val="00AC6E95"/>
    <w:rsid w:val="00AD0348"/>
    <w:rsid w:val="00AD0AA3"/>
    <w:rsid w:val="00AD1B8B"/>
    <w:rsid w:val="00AD3168"/>
    <w:rsid w:val="00AD3F94"/>
    <w:rsid w:val="00AD47BA"/>
    <w:rsid w:val="00AD4A5A"/>
    <w:rsid w:val="00AD4E27"/>
    <w:rsid w:val="00AD6DA4"/>
    <w:rsid w:val="00AD78DC"/>
    <w:rsid w:val="00AD7F95"/>
    <w:rsid w:val="00AE0905"/>
    <w:rsid w:val="00AE27AC"/>
    <w:rsid w:val="00AE2B13"/>
    <w:rsid w:val="00AE40E0"/>
    <w:rsid w:val="00AE4DBA"/>
    <w:rsid w:val="00AE4F07"/>
    <w:rsid w:val="00AE62E2"/>
    <w:rsid w:val="00AE7446"/>
    <w:rsid w:val="00AF1C5D"/>
    <w:rsid w:val="00AF2026"/>
    <w:rsid w:val="00AF3350"/>
    <w:rsid w:val="00AF3985"/>
    <w:rsid w:val="00AF3ADB"/>
    <w:rsid w:val="00AF3D19"/>
    <w:rsid w:val="00AF3D33"/>
    <w:rsid w:val="00AF42D7"/>
    <w:rsid w:val="00AF43AB"/>
    <w:rsid w:val="00AF4575"/>
    <w:rsid w:val="00AF53B6"/>
    <w:rsid w:val="00B006FE"/>
    <w:rsid w:val="00B007CB"/>
    <w:rsid w:val="00B010BF"/>
    <w:rsid w:val="00B0175E"/>
    <w:rsid w:val="00B02AA9"/>
    <w:rsid w:val="00B02CF3"/>
    <w:rsid w:val="00B02FA3"/>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4D0A"/>
    <w:rsid w:val="00B25488"/>
    <w:rsid w:val="00B25603"/>
    <w:rsid w:val="00B25AB6"/>
    <w:rsid w:val="00B25D69"/>
    <w:rsid w:val="00B2605C"/>
    <w:rsid w:val="00B26FED"/>
    <w:rsid w:val="00B2763F"/>
    <w:rsid w:val="00B27AAC"/>
    <w:rsid w:val="00B30929"/>
    <w:rsid w:val="00B31239"/>
    <w:rsid w:val="00B31867"/>
    <w:rsid w:val="00B33C5A"/>
    <w:rsid w:val="00B34AC3"/>
    <w:rsid w:val="00B34CAF"/>
    <w:rsid w:val="00B35A87"/>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B6C"/>
    <w:rsid w:val="00B750E6"/>
    <w:rsid w:val="00B75759"/>
    <w:rsid w:val="00B7591A"/>
    <w:rsid w:val="00B763BE"/>
    <w:rsid w:val="00B805EE"/>
    <w:rsid w:val="00B81A6C"/>
    <w:rsid w:val="00B81FDF"/>
    <w:rsid w:val="00B837ED"/>
    <w:rsid w:val="00B85DE5"/>
    <w:rsid w:val="00B871FA"/>
    <w:rsid w:val="00B90158"/>
    <w:rsid w:val="00B90580"/>
    <w:rsid w:val="00B907EA"/>
    <w:rsid w:val="00B90F73"/>
    <w:rsid w:val="00B92627"/>
    <w:rsid w:val="00B926D6"/>
    <w:rsid w:val="00B93B59"/>
    <w:rsid w:val="00B9406A"/>
    <w:rsid w:val="00B94FE7"/>
    <w:rsid w:val="00B959EC"/>
    <w:rsid w:val="00B97893"/>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20C7"/>
    <w:rsid w:val="00BF3279"/>
    <w:rsid w:val="00BF51E3"/>
    <w:rsid w:val="00BF74C7"/>
    <w:rsid w:val="00BF7A0D"/>
    <w:rsid w:val="00BF7CC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6235"/>
    <w:rsid w:val="00C20190"/>
    <w:rsid w:val="00C2088D"/>
    <w:rsid w:val="00C2229A"/>
    <w:rsid w:val="00C223E6"/>
    <w:rsid w:val="00C23175"/>
    <w:rsid w:val="00C23528"/>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3E64"/>
    <w:rsid w:val="00C44AE7"/>
    <w:rsid w:val="00C4565B"/>
    <w:rsid w:val="00C45B3B"/>
    <w:rsid w:val="00C4615B"/>
    <w:rsid w:val="00C4791A"/>
    <w:rsid w:val="00C47A84"/>
    <w:rsid w:val="00C53303"/>
    <w:rsid w:val="00C536F2"/>
    <w:rsid w:val="00C54995"/>
    <w:rsid w:val="00C54D41"/>
    <w:rsid w:val="00C5561A"/>
    <w:rsid w:val="00C5639D"/>
    <w:rsid w:val="00C56496"/>
    <w:rsid w:val="00C565A9"/>
    <w:rsid w:val="00C600A7"/>
    <w:rsid w:val="00C601D0"/>
    <w:rsid w:val="00C60783"/>
    <w:rsid w:val="00C609B9"/>
    <w:rsid w:val="00C60E2B"/>
    <w:rsid w:val="00C60FF3"/>
    <w:rsid w:val="00C61546"/>
    <w:rsid w:val="00C635A9"/>
    <w:rsid w:val="00C644F7"/>
    <w:rsid w:val="00C64672"/>
    <w:rsid w:val="00C65F71"/>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B92"/>
    <w:rsid w:val="00C840FF"/>
    <w:rsid w:val="00C856D5"/>
    <w:rsid w:val="00C8674E"/>
    <w:rsid w:val="00C86CF7"/>
    <w:rsid w:val="00C87CDD"/>
    <w:rsid w:val="00C9027A"/>
    <w:rsid w:val="00C905B8"/>
    <w:rsid w:val="00C9068E"/>
    <w:rsid w:val="00C909DB"/>
    <w:rsid w:val="00C92D2C"/>
    <w:rsid w:val="00C9363F"/>
    <w:rsid w:val="00C93C4B"/>
    <w:rsid w:val="00C944AB"/>
    <w:rsid w:val="00C94C14"/>
    <w:rsid w:val="00C94DA2"/>
    <w:rsid w:val="00C95B40"/>
    <w:rsid w:val="00C968EC"/>
    <w:rsid w:val="00C96B07"/>
    <w:rsid w:val="00C96C2B"/>
    <w:rsid w:val="00C96EFE"/>
    <w:rsid w:val="00C9793A"/>
    <w:rsid w:val="00C97A0F"/>
    <w:rsid w:val="00C97A15"/>
    <w:rsid w:val="00C97B29"/>
    <w:rsid w:val="00CA0805"/>
    <w:rsid w:val="00CA0A10"/>
    <w:rsid w:val="00CA1ED8"/>
    <w:rsid w:val="00CA321C"/>
    <w:rsid w:val="00CA628D"/>
    <w:rsid w:val="00CA6CFD"/>
    <w:rsid w:val="00CB0DE9"/>
    <w:rsid w:val="00CB1D43"/>
    <w:rsid w:val="00CB1F63"/>
    <w:rsid w:val="00CB3551"/>
    <w:rsid w:val="00CB4695"/>
    <w:rsid w:val="00CB53D7"/>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0BA3"/>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DF2"/>
    <w:rsid w:val="00CE5905"/>
    <w:rsid w:val="00CE6616"/>
    <w:rsid w:val="00CE6B68"/>
    <w:rsid w:val="00CE6C99"/>
    <w:rsid w:val="00CE70C0"/>
    <w:rsid w:val="00CE7561"/>
    <w:rsid w:val="00CF1354"/>
    <w:rsid w:val="00CF2106"/>
    <w:rsid w:val="00CF227E"/>
    <w:rsid w:val="00CF2456"/>
    <w:rsid w:val="00CF25C9"/>
    <w:rsid w:val="00CF3332"/>
    <w:rsid w:val="00CF3794"/>
    <w:rsid w:val="00CF3B1F"/>
    <w:rsid w:val="00CF3BF6"/>
    <w:rsid w:val="00CF46BC"/>
    <w:rsid w:val="00CF4E77"/>
    <w:rsid w:val="00CF50AB"/>
    <w:rsid w:val="00CF55EF"/>
    <w:rsid w:val="00CF57F3"/>
    <w:rsid w:val="00CF5A48"/>
    <w:rsid w:val="00CF625B"/>
    <w:rsid w:val="00CF6341"/>
    <w:rsid w:val="00CF64AF"/>
    <w:rsid w:val="00CF687E"/>
    <w:rsid w:val="00CF7216"/>
    <w:rsid w:val="00CF7673"/>
    <w:rsid w:val="00D00339"/>
    <w:rsid w:val="00D0194F"/>
    <w:rsid w:val="00D0252F"/>
    <w:rsid w:val="00D0339E"/>
    <w:rsid w:val="00D0349B"/>
    <w:rsid w:val="00D03CA0"/>
    <w:rsid w:val="00D03CBF"/>
    <w:rsid w:val="00D04434"/>
    <w:rsid w:val="00D07927"/>
    <w:rsid w:val="00D1001F"/>
    <w:rsid w:val="00D10249"/>
    <w:rsid w:val="00D115C3"/>
    <w:rsid w:val="00D11897"/>
    <w:rsid w:val="00D13135"/>
    <w:rsid w:val="00D137CD"/>
    <w:rsid w:val="00D13ABF"/>
    <w:rsid w:val="00D13E4E"/>
    <w:rsid w:val="00D15089"/>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2432"/>
    <w:rsid w:val="00D4318F"/>
    <w:rsid w:val="00D438BF"/>
    <w:rsid w:val="00D440F8"/>
    <w:rsid w:val="00D4465F"/>
    <w:rsid w:val="00D44E9F"/>
    <w:rsid w:val="00D45637"/>
    <w:rsid w:val="00D46FA5"/>
    <w:rsid w:val="00D47676"/>
    <w:rsid w:val="00D51446"/>
    <w:rsid w:val="00D51588"/>
    <w:rsid w:val="00D524F0"/>
    <w:rsid w:val="00D5259D"/>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F30"/>
    <w:rsid w:val="00D76603"/>
    <w:rsid w:val="00D76F86"/>
    <w:rsid w:val="00D77B1D"/>
    <w:rsid w:val="00D8021F"/>
    <w:rsid w:val="00D80383"/>
    <w:rsid w:val="00D80AC9"/>
    <w:rsid w:val="00D815D6"/>
    <w:rsid w:val="00D81C48"/>
    <w:rsid w:val="00D8203B"/>
    <w:rsid w:val="00D823C6"/>
    <w:rsid w:val="00D855A3"/>
    <w:rsid w:val="00D85EF7"/>
    <w:rsid w:val="00D86C60"/>
    <w:rsid w:val="00D86CA3"/>
    <w:rsid w:val="00D871CE"/>
    <w:rsid w:val="00D87705"/>
    <w:rsid w:val="00D90803"/>
    <w:rsid w:val="00D9080F"/>
    <w:rsid w:val="00D918A9"/>
    <w:rsid w:val="00D9196D"/>
    <w:rsid w:val="00D91BEA"/>
    <w:rsid w:val="00D920A7"/>
    <w:rsid w:val="00D92982"/>
    <w:rsid w:val="00D9303F"/>
    <w:rsid w:val="00D933E0"/>
    <w:rsid w:val="00D93B14"/>
    <w:rsid w:val="00D95A22"/>
    <w:rsid w:val="00D965C0"/>
    <w:rsid w:val="00D96A27"/>
    <w:rsid w:val="00D96C99"/>
    <w:rsid w:val="00DA0701"/>
    <w:rsid w:val="00DA07BF"/>
    <w:rsid w:val="00DA15F4"/>
    <w:rsid w:val="00DA305E"/>
    <w:rsid w:val="00DA3E28"/>
    <w:rsid w:val="00DA5007"/>
    <w:rsid w:val="00DA5417"/>
    <w:rsid w:val="00DA56E8"/>
    <w:rsid w:val="00DA5DEA"/>
    <w:rsid w:val="00DA67A6"/>
    <w:rsid w:val="00DB06D8"/>
    <w:rsid w:val="00DB0A9F"/>
    <w:rsid w:val="00DB0D4F"/>
    <w:rsid w:val="00DB24E7"/>
    <w:rsid w:val="00DB377D"/>
    <w:rsid w:val="00DB4C82"/>
    <w:rsid w:val="00DB4E1B"/>
    <w:rsid w:val="00DB4ECB"/>
    <w:rsid w:val="00DB5B21"/>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EA"/>
    <w:rsid w:val="00DD0792"/>
    <w:rsid w:val="00DD0DB7"/>
    <w:rsid w:val="00DD2B9C"/>
    <w:rsid w:val="00DD3A35"/>
    <w:rsid w:val="00DD7867"/>
    <w:rsid w:val="00DE1A17"/>
    <w:rsid w:val="00DE3A33"/>
    <w:rsid w:val="00DE3B7F"/>
    <w:rsid w:val="00DE42C3"/>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6ED"/>
    <w:rsid w:val="00E11B20"/>
    <w:rsid w:val="00E156FA"/>
    <w:rsid w:val="00E15D1F"/>
    <w:rsid w:val="00E16088"/>
    <w:rsid w:val="00E171B5"/>
    <w:rsid w:val="00E174CA"/>
    <w:rsid w:val="00E17970"/>
    <w:rsid w:val="00E179FC"/>
    <w:rsid w:val="00E17B45"/>
    <w:rsid w:val="00E17FA2"/>
    <w:rsid w:val="00E20610"/>
    <w:rsid w:val="00E213A8"/>
    <w:rsid w:val="00E22330"/>
    <w:rsid w:val="00E23045"/>
    <w:rsid w:val="00E25B80"/>
    <w:rsid w:val="00E2667C"/>
    <w:rsid w:val="00E26CD5"/>
    <w:rsid w:val="00E30926"/>
    <w:rsid w:val="00E30B5A"/>
    <w:rsid w:val="00E3123D"/>
    <w:rsid w:val="00E31436"/>
    <w:rsid w:val="00E31461"/>
    <w:rsid w:val="00E31C0F"/>
    <w:rsid w:val="00E31D43"/>
    <w:rsid w:val="00E3260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1AC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618B"/>
    <w:rsid w:val="00E67C51"/>
    <w:rsid w:val="00E70D86"/>
    <w:rsid w:val="00E711FC"/>
    <w:rsid w:val="00E71FD2"/>
    <w:rsid w:val="00E72EFC"/>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62EC"/>
    <w:rsid w:val="00EB6361"/>
    <w:rsid w:val="00EB7255"/>
    <w:rsid w:val="00EB7F3C"/>
    <w:rsid w:val="00EC25D2"/>
    <w:rsid w:val="00EC27C6"/>
    <w:rsid w:val="00EC38A0"/>
    <w:rsid w:val="00EC4207"/>
    <w:rsid w:val="00EC491A"/>
    <w:rsid w:val="00EC4A0B"/>
    <w:rsid w:val="00EC4A1E"/>
    <w:rsid w:val="00EC4C96"/>
    <w:rsid w:val="00EC4CB4"/>
    <w:rsid w:val="00EC5005"/>
    <w:rsid w:val="00EC5653"/>
    <w:rsid w:val="00EC5BEA"/>
    <w:rsid w:val="00EC60B5"/>
    <w:rsid w:val="00EC66AD"/>
    <w:rsid w:val="00EC66B4"/>
    <w:rsid w:val="00EC71CE"/>
    <w:rsid w:val="00EC7304"/>
    <w:rsid w:val="00ED0750"/>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F0038"/>
    <w:rsid w:val="00EF04DD"/>
    <w:rsid w:val="00EF10BC"/>
    <w:rsid w:val="00EF14F7"/>
    <w:rsid w:val="00EF18FE"/>
    <w:rsid w:val="00EF25F3"/>
    <w:rsid w:val="00EF2E6C"/>
    <w:rsid w:val="00EF2F9E"/>
    <w:rsid w:val="00EF5787"/>
    <w:rsid w:val="00EF60D0"/>
    <w:rsid w:val="00EF6D14"/>
    <w:rsid w:val="00EF7136"/>
    <w:rsid w:val="00F0201B"/>
    <w:rsid w:val="00F03BE6"/>
    <w:rsid w:val="00F0528D"/>
    <w:rsid w:val="00F05EE8"/>
    <w:rsid w:val="00F06C67"/>
    <w:rsid w:val="00F06DFD"/>
    <w:rsid w:val="00F071D1"/>
    <w:rsid w:val="00F07533"/>
    <w:rsid w:val="00F10629"/>
    <w:rsid w:val="00F1551D"/>
    <w:rsid w:val="00F1556E"/>
    <w:rsid w:val="00F15F1E"/>
    <w:rsid w:val="00F15FA5"/>
    <w:rsid w:val="00F1625B"/>
    <w:rsid w:val="00F1741C"/>
    <w:rsid w:val="00F20701"/>
    <w:rsid w:val="00F209B7"/>
    <w:rsid w:val="00F21C47"/>
    <w:rsid w:val="00F23201"/>
    <w:rsid w:val="00F2376F"/>
    <w:rsid w:val="00F243D8"/>
    <w:rsid w:val="00F24E55"/>
    <w:rsid w:val="00F25D80"/>
    <w:rsid w:val="00F26AFC"/>
    <w:rsid w:val="00F26DEE"/>
    <w:rsid w:val="00F30828"/>
    <w:rsid w:val="00F30E66"/>
    <w:rsid w:val="00F313D6"/>
    <w:rsid w:val="00F31E10"/>
    <w:rsid w:val="00F32532"/>
    <w:rsid w:val="00F326FD"/>
    <w:rsid w:val="00F32C1A"/>
    <w:rsid w:val="00F32C68"/>
    <w:rsid w:val="00F33DF2"/>
    <w:rsid w:val="00F34D6D"/>
    <w:rsid w:val="00F35DC6"/>
    <w:rsid w:val="00F40806"/>
    <w:rsid w:val="00F40F0C"/>
    <w:rsid w:val="00F41508"/>
    <w:rsid w:val="00F4299D"/>
    <w:rsid w:val="00F42AC8"/>
    <w:rsid w:val="00F4350D"/>
    <w:rsid w:val="00F4352A"/>
    <w:rsid w:val="00F45A29"/>
    <w:rsid w:val="00F4619E"/>
    <w:rsid w:val="00F4766C"/>
    <w:rsid w:val="00F478EB"/>
    <w:rsid w:val="00F47D9C"/>
    <w:rsid w:val="00F50402"/>
    <w:rsid w:val="00F507D1"/>
    <w:rsid w:val="00F509B1"/>
    <w:rsid w:val="00F519CE"/>
    <w:rsid w:val="00F51ADA"/>
    <w:rsid w:val="00F51CB3"/>
    <w:rsid w:val="00F53872"/>
    <w:rsid w:val="00F54C67"/>
    <w:rsid w:val="00F5501A"/>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77629"/>
    <w:rsid w:val="00F804BE"/>
    <w:rsid w:val="00F81631"/>
    <w:rsid w:val="00F817CE"/>
    <w:rsid w:val="00F823A1"/>
    <w:rsid w:val="00F84530"/>
    <w:rsid w:val="00F8456C"/>
    <w:rsid w:val="00F84884"/>
    <w:rsid w:val="00F859D8"/>
    <w:rsid w:val="00F868F5"/>
    <w:rsid w:val="00F9056A"/>
    <w:rsid w:val="00F9083B"/>
    <w:rsid w:val="00F90F8D"/>
    <w:rsid w:val="00F9147E"/>
    <w:rsid w:val="00F92782"/>
    <w:rsid w:val="00F93121"/>
    <w:rsid w:val="00F93960"/>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E14"/>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2BB"/>
    <w:rsid w:val="00FF1E31"/>
    <w:rsid w:val="00FF39AF"/>
    <w:rsid w:val="00FF45A5"/>
    <w:rsid w:val="00FF4D74"/>
    <w:rsid w:val="00FF5139"/>
    <w:rsid w:val="00FF53BF"/>
    <w:rsid w:val="00FF5C91"/>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696"/>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146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69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uiPriority w:val="99"/>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uiPriority w:val="99"/>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7607552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158812585">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04FBC1A4-7BFB-48A3-A300-98A567DF0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Panasonic (Ming-Hung)</cp:lastModifiedBy>
  <cp:revision>3</cp:revision>
  <cp:lastPrinted>2008-01-31T06:09:00Z</cp:lastPrinted>
  <dcterms:created xsi:type="dcterms:W3CDTF">2019-03-28T12:32:00Z</dcterms:created>
  <dcterms:modified xsi:type="dcterms:W3CDTF">2019-03-28T12:36:00Z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